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76" w:rsidRPr="00A54C53" w:rsidRDefault="00C06276" w:rsidP="00C06276">
      <w:pPr>
        <w:pStyle w:val="Listaszerbekezds"/>
        <w:numPr>
          <w:ilvl w:val="0"/>
          <w:numId w:val="1"/>
        </w:numPr>
        <w:jc w:val="right"/>
        <w:rPr>
          <w:b/>
        </w:rPr>
      </w:pPr>
      <w:r>
        <w:rPr>
          <w:rFonts w:ascii="Times New Roman" w:eastAsia="Times New Roman" w:hAnsi="Times New Roman" w:cs="Times New Roman"/>
          <w:b/>
          <w:caps/>
          <w:sz w:val="24"/>
          <w:szCs w:val="24"/>
          <w:lang w:eastAsia="hu-HU"/>
        </w:rPr>
        <w:t>melléklet</w:t>
      </w:r>
    </w:p>
    <w:p w:rsidR="00C06276" w:rsidRDefault="00C06276" w:rsidP="00C06276">
      <w:pPr>
        <w:rPr>
          <w:rFonts w:ascii="Times New Roman" w:eastAsia="Times New Roman" w:hAnsi="Times New Roman" w:cs="Times New Roman"/>
          <w:b/>
          <w:caps/>
          <w:sz w:val="24"/>
          <w:szCs w:val="24"/>
          <w:lang w:eastAsia="hu-HU"/>
        </w:rPr>
      </w:pPr>
    </w:p>
    <w:p w:rsidR="00C06276" w:rsidRPr="005437E7" w:rsidRDefault="00C06276" w:rsidP="00C06276">
      <w:pPr>
        <w:jc w:val="center"/>
        <w:rPr>
          <w:rFonts w:ascii="Times New Roman" w:hAnsi="Times New Roman" w:cs="Times New Roman"/>
          <w:b/>
          <w:sz w:val="24"/>
        </w:rPr>
      </w:pPr>
      <w:r w:rsidRPr="005437E7">
        <w:rPr>
          <w:rFonts w:ascii="Times New Roman" w:hAnsi="Times New Roman" w:cs="Times New Roman"/>
          <w:b/>
          <w:sz w:val="24"/>
        </w:rPr>
        <w:t>Érintetti tájékoztató</w:t>
      </w:r>
    </w:p>
    <w:tbl>
      <w:tblPr>
        <w:tblStyle w:val="Rcsostblzat"/>
        <w:tblW w:w="0" w:type="auto"/>
        <w:tblLook w:val="04A0" w:firstRow="1" w:lastRow="0" w:firstColumn="1" w:lastColumn="0" w:noHBand="0" w:noVBand="1"/>
      </w:tblPr>
      <w:tblGrid>
        <w:gridCol w:w="3369"/>
        <w:gridCol w:w="5843"/>
      </w:tblGrid>
      <w:tr w:rsidR="00C06276" w:rsidRPr="00AB14A3" w:rsidTr="00E02E07">
        <w:tc>
          <w:tcPr>
            <w:tcW w:w="3369" w:type="dxa"/>
          </w:tcPr>
          <w:p w:rsidR="00C06276" w:rsidRPr="00AB14A3" w:rsidRDefault="00C06276" w:rsidP="00E02E07">
            <w:pPr>
              <w:rPr>
                <w:rFonts w:ascii="Times New Roman" w:hAnsi="Times New Roman" w:cs="Times New Roman"/>
                <w:sz w:val="20"/>
                <w:szCs w:val="20"/>
              </w:rPr>
            </w:pPr>
            <w:r w:rsidRPr="00AB14A3">
              <w:rPr>
                <w:rFonts w:ascii="Times New Roman" w:hAnsi="Times New Roman" w:cs="Times New Roman"/>
                <w:sz w:val="20"/>
                <w:szCs w:val="20"/>
              </w:rPr>
              <w:t>Nyilvántartási szám:</w:t>
            </w:r>
          </w:p>
        </w:tc>
        <w:tc>
          <w:tcPr>
            <w:tcW w:w="5843" w:type="dxa"/>
          </w:tcPr>
          <w:p w:rsidR="00C06276" w:rsidRPr="00AB14A3" w:rsidRDefault="00C06276" w:rsidP="00E02E07">
            <w:pPr>
              <w:rPr>
                <w:rFonts w:ascii="Times New Roman" w:hAnsi="Times New Roman" w:cs="Times New Roman"/>
                <w:sz w:val="20"/>
              </w:rPr>
            </w:pPr>
            <w:r>
              <w:rPr>
                <w:rFonts w:ascii="Times New Roman" w:hAnsi="Times New Roman" w:cs="Times New Roman"/>
                <w:sz w:val="20"/>
              </w:rPr>
              <w:t>30503-13/28/2020.</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5843" w:type="dxa"/>
          </w:tcPr>
          <w:p w:rsidR="00C06276" w:rsidRPr="003A1469" w:rsidRDefault="00C06276" w:rsidP="00E02E07">
            <w:pPr>
              <w:jc w:val="both"/>
              <w:rPr>
                <w:rFonts w:ascii="Times New Roman" w:hAnsi="Times New Roman" w:cs="Times New Roman"/>
                <w:sz w:val="20"/>
                <w:szCs w:val="20"/>
              </w:rPr>
            </w:pPr>
            <w:r>
              <w:rPr>
                <w:rFonts w:ascii="Times New Roman" w:hAnsi="Times New Roman" w:cs="Times New Roman"/>
                <w:sz w:val="20"/>
                <w:szCs w:val="20"/>
              </w:rPr>
              <w:t xml:space="preserve">Elektronikus megfigyelési eszközök felvételei </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5843" w:type="dxa"/>
          </w:tcPr>
          <w:p w:rsidR="00C06276" w:rsidRDefault="00C06276" w:rsidP="00E02E07">
            <w:pPr>
              <w:jc w:val="both"/>
              <w:rPr>
                <w:rFonts w:ascii="Times New Roman" w:hAnsi="Times New Roman" w:cs="Times New Roman"/>
                <w:sz w:val="20"/>
                <w:szCs w:val="20"/>
              </w:rPr>
            </w:pPr>
            <w:r w:rsidRPr="00252F22">
              <w:rPr>
                <w:rFonts w:ascii="Times New Roman" w:hAnsi="Times New Roman" w:cs="Times New Roman"/>
                <w:sz w:val="20"/>
                <w:szCs w:val="20"/>
              </w:rPr>
              <w:t>1.</w:t>
            </w:r>
            <w:r>
              <w:rPr>
                <w:rFonts w:ascii="Times New Roman" w:hAnsi="Times New Roman" w:cs="Times New Roman"/>
                <w:sz w:val="20"/>
                <w:szCs w:val="20"/>
              </w:rPr>
              <w:t xml:space="preserve"> A</w:t>
            </w:r>
            <w:r w:rsidRPr="00252F22">
              <w:rPr>
                <w:rFonts w:ascii="Times New Roman" w:hAnsi="Times New Roman" w:cs="Times New Roman"/>
                <w:sz w:val="20"/>
                <w:szCs w:val="20"/>
              </w:rPr>
              <w:t xml:space="preserve"> büntetés-végrehajtás rendjének biztosítása</w:t>
            </w:r>
            <w:r>
              <w:rPr>
                <w:rFonts w:ascii="Times New Roman" w:hAnsi="Times New Roman" w:cs="Times New Roman"/>
                <w:sz w:val="20"/>
                <w:szCs w:val="20"/>
              </w:rPr>
              <w:t xml:space="preserve"> </w:t>
            </w:r>
          </w:p>
          <w:p w:rsidR="00C06276" w:rsidRDefault="00C06276" w:rsidP="00E02E07">
            <w:pPr>
              <w:jc w:val="both"/>
              <w:rPr>
                <w:rFonts w:ascii="Times New Roman" w:hAnsi="Times New Roman" w:cs="Times New Roman"/>
                <w:sz w:val="20"/>
                <w:szCs w:val="20"/>
              </w:rPr>
            </w:pPr>
            <w:r>
              <w:rPr>
                <w:rFonts w:ascii="Times New Roman" w:hAnsi="Times New Roman" w:cs="Times New Roman"/>
                <w:sz w:val="20"/>
                <w:szCs w:val="20"/>
              </w:rPr>
              <w:t>2. A minősített adathoz történő hozzáférés elleni védelem</w:t>
            </w:r>
          </w:p>
          <w:p w:rsidR="00C06276" w:rsidRDefault="00C06276" w:rsidP="00E02E07">
            <w:pPr>
              <w:jc w:val="both"/>
              <w:rPr>
                <w:rFonts w:ascii="Times New Roman" w:hAnsi="Times New Roman" w:cs="Times New Roman"/>
                <w:sz w:val="20"/>
                <w:szCs w:val="20"/>
              </w:rPr>
            </w:pPr>
            <w:r>
              <w:rPr>
                <w:rFonts w:ascii="Times New Roman" w:hAnsi="Times New Roman" w:cs="Times New Roman"/>
                <w:sz w:val="20"/>
                <w:szCs w:val="20"/>
              </w:rPr>
              <w:t xml:space="preserve">3. </w:t>
            </w:r>
            <w:r w:rsidRPr="00DD23CE">
              <w:rPr>
                <w:rFonts w:ascii="Times New Roman" w:hAnsi="Times New Roman" w:cs="Times New Roman"/>
                <w:sz w:val="20"/>
                <w:szCs w:val="20"/>
              </w:rPr>
              <w:t>Az elektronikus információbiztonság fizikai térben megvalósuló fenyegetések elleni védelem</w:t>
            </w:r>
          </w:p>
          <w:p w:rsidR="00C06276" w:rsidRPr="00252F22" w:rsidRDefault="00C06276" w:rsidP="00E02E07">
            <w:pPr>
              <w:jc w:val="both"/>
              <w:rPr>
                <w:rFonts w:ascii="Times New Roman" w:hAnsi="Times New Roman" w:cs="Times New Roman"/>
                <w:sz w:val="20"/>
                <w:szCs w:val="20"/>
              </w:rPr>
            </w:pPr>
            <w:r>
              <w:rPr>
                <w:rFonts w:ascii="Times New Roman" w:hAnsi="Times New Roman" w:cs="Times New Roman"/>
                <w:sz w:val="20"/>
                <w:szCs w:val="20"/>
              </w:rPr>
              <w:t>4. A rendvédelmi szerv személyi állományának technikai ellenőrzése</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5843" w:type="dxa"/>
          </w:tcPr>
          <w:p w:rsidR="00C06276" w:rsidRDefault="00C06276" w:rsidP="00E02E07">
            <w:pPr>
              <w:jc w:val="both"/>
              <w:rPr>
                <w:rFonts w:ascii="Times New Roman" w:hAnsi="Times New Roman" w:cs="Times New Roman"/>
                <w:sz w:val="20"/>
                <w:szCs w:val="20"/>
              </w:rPr>
            </w:pPr>
            <w:r w:rsidRPr="00252F22">
              <w:rPr>
                <w:rFonts w:ascii="Times New Roman" w:hAnsi="Times New Roman" w:cs="Times New Roman"/>
                <w:sz w:val="20"/>
                <w:szCs w:val="20"/>
              </w:rPr>
              <w:t>1.</w:t>
            </w:r>
            <w:r>
              <w:rPr>
                <w:rFonts w:ascii="Times New Roman" w:hAnsi="Times New Roman" w:cs="Times New Roman"/>
                <w:sz w:val="20"/>
                <w:szCs w:val="20"/>
              </w:rPr>
              <w:t xml:space="preserve"> 2011. évi CXII. törvény 5. § (2) bekezdés b</w:t>
            </w:r>
            <w:r w:rsidRPr="00252F22">
              <w:rPr>
                <w:rFonts w:ascii="Times New Roman" w:hAnsi="Times New Roman" w:cs="Times New Roman"/>
                <w:sz w:val="20"/>
                <w:szCs w:val="20"/>
              </w:rPr>
              <w:t>) pont, 2013. évi CCXL. törvény 150. §</w:t>
            </w:r>
          </w:p>
          <w:p w:rsidR="00C06276" w:rsidRDefault="00C06276" w:rsidP="00E02E07">
            <w:pPr>
              <w:jc w:val="both"/>
              <w:rPr>
                <w:rFonts w:ascii="Times New Roman" w:hAnsi="Times New Roman" w:cs="Times New Roman"/>
                <w:sz w:val="20"/>
                <w:szCs w:val="20"/>
              </w:rPr>
            </w:pPr>
            <w:r>
              <w:rPr>
                <w:rFonts w:ascii="Times New Roman" w:hAnsi="Times New Roman" w:cs="Times New Roman"/>
                <w:sz w:val="20"/>
                <w:szCs w:val="20"/>
              </w:rPr>
              <w:t>2. GDPR 6. cikk (1) bekezdés e) pont, 2009. évi CLV. törvény 10. §</w:t>
            </w:r>
          </w:p>
          <w:p w:rsidR="00C06276" w:rsidRDefault="00C06276" w:rsidP="00E02E07">
            <w:pPr>
              <w:jc w:val="both"/>
              <w:rPr>
                <w:rFonts w:ascii="Times New Roman" w:hAnsi="Times New Roman" w:cs="Times New Roman"/>
                <w:sz w:val="20"/>
                <w:szCs w:val="20"/>
              </w:rPr>
            </w:pPr>
            <w:r>
              <w:rPr>
                <w:rFonts w:ascii="Times New Roman" w:hAnsi="Times New Roman" w:cs="Times New Roman"/>
                <w:sz w:val="20"/>
                <w:szCs w:val="20"/>
              </w:rPr>
              <w:t>3. GDPR 6. cikk (1) bekezdés e) pont, 2013. évi L. törvény 1. § 20.</w:t>
            </w:r>
          </w:p>
          <w:p w:rsidR="00C06276" w:rsidRPr="00252F22" w:rsidRDefault="00C06276" w:rsidP="00E02E07">
            <w:pPr>
              <w:jc w:val="both"/>
              <w:rPr>
                <w:rFonts w:ascii="Times New Roman" w:hAnsi="Times New Roman" w:cs="Times New Roman"/>
                <w:sz w:val="20"/>
                <w:szCs w:val="20"/>
              </w:rPr>
            </w:pPr>
            <w:r>
              <w:rPr>
                <w:rFonts w:ascii="Times New Roman" w:hAnsi="Times New Roman" w:cs="Times New Roman"/>
                <w:sz w:val="20"/>
                <w:szCs w:val="20"/>
              </w:rPr>
              <w:t>4. GDPR 6. cikk (1) bekezdés e) pont, 2015. évi LXII. törvény 104. §</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5843" w:type="dxa"/>
          </w:tcPr>
          <w:p w:rsidR="00C06276" w:rsidRPr="003A1469" w:rsidRDefault="00C06276" w:rsidP="00E02E07">
            <w:pPr>
              <w:tabs>
                <w:tab w:val="left" w:pos="1331"/>
              </w:tabs>
              <w:jc w:val="both"/>
              <w:rPr>
                <w:rFonts w:ascii="Times New Roman" w:hAnsi="Times New Roman" w:cs="Times New Roman"/>
                <w:sz w:val="20"/>
                <w:szCs w:val="20"/>
              </w:rPr>
            </w:pPr>
            <w:r>
              <w:rPr>
                <w:rFonts w:ascii="Times New Roman" w:hAnsi="Times New Roman" w:cs="Times New Roman"/>
                <w:sz w:val="20"/>
                <w:szCs w:val="20"/>
              </w:rPr>
              <w:t>1-4. A kamera látóterébe kerülő személy képmása</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5843" w:type="dxa"/>
          </w:tcPr>
          <w:p w:rsidR="00C06276" w:rsidRPr="00252F22" w:rsidRDefault="00C06276" w:rsidP="00E02E07">
            <w:pPr>
              <w:jc w:val="both"/>
              <w:rPr>
                <w:rFonts w:ascii="Times New Roman" w:hAnsi="Times New Roman" w:cs="Times New Roman"/>
                <w:sz w:val="20"/>
                <w:szCs w:val="20"/>
              </w:rPr>
            </w:pPr>
            <w:r>
              <w:rPr>
                <w:rFonts w:ascii="Times New Roman" w:hAnsi="Times New Roman" w:cs="Times New Roman"/>
                <w:sz w:val="20"/>
                <w:szCs w:val="20"/>
              </w:rPr>
              <w:t xml:space="preserve">1-4. </w:t>
            </w:r>
            <w:r w:rsidRPr="00252F22">
              <w:rPr>
                <w:rFonts w:ascii="Times New Roman" w:hAnsi="Times New Roman" w:cs="Times New Roman"/>
                <w:sz w:val="20"/>
                <w:szCs w:val="20"/>
              </w:rPr>
              <w:t xml:space="preserve">A </w:t>
            </w:r>
            <w:r>
              <w:rPr>
                <w:rFonts w:ascii="Times New Roman" w:hAnsi="Times New Roman" w:cs="Times New Roman"/>
                <w:sz w:val="20"/>
                <w:szCs w:val="20"/>
              </w:rPr>
              <w:t>bv. szerv területére</w:t>
            </w:r>
            <w:r w:rsidRPr="00252F22">
              <w:rPr>
                <w:rFonts w:ascii="Times New Roman" w:hAnsi="Times New Roman" w:cs="Times New Roman"/>
                <w:sz w:val="20"/>
                <w:szCs w:val="20"/>
              </w:rPr>
              <w:t xml:space="preserve"> belépő, illetve annak környezetében tartózkodó személyek</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5843" w:type="dxa"/>
          </w:tcPr>
          <w:p w:rsidR="00C06276" w:rsidRPr="003A1469" w:rsidRDefault="00C06276" w:rsidP="00E02E07">
            <w:pPr>
              <w:jc w:val="both"/>
              <w:rPr>
                <w:rFonts w:ascii="Times New Roman" w:hAnsi="Times New Roman" w:cs="Times New Roman"/>
                <w:sz w:val="20"/>
                <w:szCs w:val="20"/>
              </w:rPr>
            </w:pPr>
            <w:r>
              <w:rPr>
                <w:rFonts w:ascii="Times New Roman" w:hAnsi="Times New Roman" w:cs="Times New Roman"/>
                <w:sz w:val="20"/>
                <w:szCs w:val="20"/>
              </w:rPr>
              <w:t>1-4. Elektronikus megfigyelési eszköz</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5843" w:type="dxa"/>
          </w:tcPr>
          <w:p w:rsidR="00C06276" w:rsidRPr="003A1469" w:rsidRDefault="00C06276" w:rsidP="00E02E07">
            <w:pPr>
              <w:tabs>
                <w:tab w:val="left" w:pos="1087"/>
              </w:tabs>
              <w:jc w:val="both"/>
              <w:rPr>
                <w:rFonts w:ascii="Times New Roman" w:hAnsi="Times New Roman" w:cs="Times New Roman"/>
                <w:sz w:val="20"/>
                <w:szCs w:val="20"/>
              </w:rPr>
            </w:pPr>
            <w:r>
              <w:rPr>
                <w:rFonts w:ascii="Times New Roman" w:hAnsi="Times New Roman" w:cs="Times New Roman"/>
                <w:sz w:val="20"/>
                <w:szCs w:val="20"/>
              </w:rPr>
              <w:t>1., 4. A kamera látóterébe kerülő személy képmása</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5843" w:type="dxa"/>
          </w:tcPr>
          <w:p w:rsidR="00C06276" w:rsidRPr="003A1469" w:rsidRDefault="00C06276" w:rsidP="00E02E07">
            <w:pPr>
              <w:jc w:val="both"/>
              <w:rPr>
                <w:rFonts w:ascii="Times New Roman" w:hAnsi="Times New Roman" w:cs="Times New Roman"/>
                <w:sz w:val="20"/>
                <w:szCs w:val="20"/>
              </w:rPr>
            </w:pPr>
            <w:r>
              <w:rPr>
                <w:rFonts w:ascii="Times New Roman" w:hAnsi="Times New Roman" w:cs="Times New Roman"/>
                <w:sz w:val="20"/>
                <w:szCs w:val="20"/>
              </w:rPr>
              <w:t>1., 4. Büntetés-végrehajtás Országos Parancsnoksága</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5843" w:type="dxa"/>
          </w:tcPr>
          <w:p w:rsidR="00C06276" w:rsidRPr="003A1469" w:rsidRDefault="00C06276" w:rsidP="00E02E07">
            <w:pPr>
              <w:jc w:val="both"/>
              <w:rPr>
                <w:rFonts w:ascii="Times New Roman" w:hAnsi="Times New Roman" w:cs="Times New Roman"/>
                <w:sz w:val="20"/>
                <w:szCs w:val="20"/>
              </w:rPr>
            </w:pPr>
            <w:r>
              <w:rPr>
                <w:rFonts w:ascii="Times New Roman" w:hAnsi="Times New Roman" w:cs="Times New Roman"/>
                <w:sz w:val="20"/>
                <w:szCs w:val="20"/>
              </w:rPr>
              <w:t>1.. 4. 1995. évi CVII. törvény 5. § b) pont</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5843" w:type="dxa"/>
          </w:tcPr>
          <w:p w:rsidR="00C06276" w:rsidRDefault="00C06276" w:rsidP="00E02E07">
            <w:pPr>
              <w:jc w:val="both"/>
              <w:rPr>
                <w:rFonts w:ascii="Times New Roman" w:hAnsi="Times New Roman" w:cs="Times New Roman"/>
                <w:sz w:val="20"/>
                <w:szCs w:val="20"/>
              </w:rPr>
            </w:pPr>
            <w:r w:rsidRPr="00252F22">
              <w:rPr>
                <w:rFonts w:ascii="Times New Roman" w:hAnsi="Times New Roman" w:cs="Times New Roman"/>
                <w:sz w:val="20"/>
                <w:szCs w:val="20"/>
              </w:rPr>
              <w:t>1</w:t>
            </w:r>
            <w:r>
              <w:rPr>
                <w:rFonts w:ascii="Times New Roman" w:hAnsi="Times New Roman" w:cs="Times New Roman"/>
                <w:sz w:val="20"/>
                <w:szCs w:val="20"/>
              </w:rPr>
              <w:t>-3</w:t>
            </w:r>
            <w:r w:rsidRPr="00252F22">
              <w:rPr>
                <w:rFonts w:ascii="Times New Roman" w:hAnsi="Times New Roman" w:cs="Times New Roman"/>
                <w:sz w:val="20"/>
                <w:szCs w:val="20"/>
              </w:rPr>
              <w:t>.</w:t>
            </w:r>
            <w:r>
              <w:rPr>
                <w:rFonts w:ascii="Times New Roman" w:hAnsi="Times New Roman" w:cs="Times New Roman"/>
                <w:sz w:val="20"/>
                <w:szCs w:val="20"/>
              </w:rPr>
              <w:t xml:space="preserve"> </w:t>
            </w:r>
            <w:r w:rsidRPr="00252F22">
              <w:rPr>
                <w:rFonts w:ascii="Times New Roman" w:hAnsi="Times New Roman" w:cs="Times New Roman"/>
                <w:sz w:val="20"/>
                <w:szCs w:val="20"/>
              </w:rPr>
              <w:t xml:space="preserve">2013. évi CCXL. törvény 150. § (7)-(9) bekezdése </w:t>
            </w:r>
            <w:r>
              <w:rPr>
                <w:rFonts w:ascii="Times New Roman" w:hAnsi="Times New Roman" w:cs="Times New Roman"/>
                <w:sz w:val="20"/>
                <w:szCs w:val="20"/>
              </w:rPr>
              <w:t xml:space="preserve">szerinti </w:t>
            </w:r>
            <w:r w:rsidRPr="00252F22">
              <w:rPr>
                <w:rFonts w:ascii="Times New Roman" w:hAnsi="Times New Roman" w:cs="Times New Roman"/>
                <w:sz w:val="20"/>
                <w:szCs w:val="20"/>
              </w:rPr>
              <w:t>megőrzési idő letelte</w:t>
            </w:r>
          </w:p>
          <w:p w:rsidR="00C06276" w:rsidRPr="00252F22" w:rsidRDefault="00C06276" w:rsidP="00AC7E27">
            <w:pPr>
              <w:jc w:val="both"/>
              <w:rPr>
                <w:rFonts w:ascii="Times New Roman" w:hAnsi="Times New Roman" w:cs="Times New Roman"/>
                <w:sz w:val="20"/>
                <w:szCs w:val="20"/>
              </w:rPr>
            </w:pPr>
            <w:r>
              <w:rPr>
                <w:rFonts w:ascii="Times New Roman" w:hAnsi="Times New Roman" w:cs="Times New Roman"/>
                <w:sz w:val="20"/>
                <w:szCs w:val="20"/>
              </w:rPr>
              <w:t>4. 2015. évi X</w:t>
            </w:r>
            <w:r w:rsidR="00AC7E27">
              <w:rPr>
                <w:rFonts w:ascii="Times New Roman" w:hAnsi="Times New Roman" w:cs="Times New Roman"/>
                <w:sz w:val="20"/>
                <w:szCs w:val="20"/>
              </w:rPr>
              <w:t>L</w:t>
            </w:r>
            <w:r>
              <w:rPr>
                <w:rFonts w:ascii="Times New Roman" w:hAnsi="Times New Roman" w:cs="Times New Roman"/>
                <w:sz w:val="20"/>
                <w:szCs w:val="20"/>
              </w:rPr>
              <w:t>II. törvény 104. § (6)-(7) bekezdés szerinti megőrzési idő letelte</w:t>
            </w:r>
          </w:p>
        </w:tc>
      </w:tr>
      <w:tr w:rsidR="00C06276" w:rsidTr="00E02E07">
        <w:trPr>
          <w:trHeight w:val="454"/>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5843" w:type="dxa"/>
          </w:tcPr>
          <w:p w:rsidR="00C06276" w:rsidRPr="003A1469" w:rsidRDefault="00C06276" w:rsidP="00E02E07">
            <w:pPr>
              <w:jc w:val="both"/>
              <w:rPr>
                <w:rFonts w:ascii="Times New Roman" w:hAnsi="Times New Roman" w:cs="Times New Roman"/>
                <w:sz w:val="20"/>
                <w:szCs w:val="20"/>
              </w:rPr>
            </w:pPr>
            <w:r>
              <w:rPr>
                <w:rFonts w:ascii="Times New Roman" w:hAnsi="Times New Roman" w:cs="Times New Roman"/>
                <w:sz w:val="20"/>
                <w:szCs w:val="20"/>
              </w:rPr>
              <w:t>Állampusztai Országos Bv. Intézet</w:t>
            </w:r>
            <w:r w:rsidRPr="003A1469">
              <w:rPr>
                <w:rStyle w:val="pull-right"/>
                <w:rFonts w:ascii="Times New Roman" w:hAnsi="Times New Roman" w:cs="Times New Roman"/>
                <w:sz w:val="20"/>
                <w:szCs w:val="20"/>
              </w:rPr>
              <w:t>,</w:t>
            </w:r>
            <w:r>
              <w:rPr>
                <w:rStyle w:val="pull-right"/>
                <w:rFonts w:ascii="Times New Roman" w:hAnsi="Times New Roman" w:cs="Times New Roman"/>
                <w:sz w:val="20"/>
                <w:szCs w:val="20"/>
              </w:rPr>
              <w:t xml:space="preserve">63207 Állampuszta. Fő. utca 1. dr. Nyámádi József, dr. Kovács Katalin, </w:t>
            </w:r>
            <w:r w:rsidRPr="003A1469">
              <w:rPr>
                <w:rFonts w:ascii="Times New Roman" w:hAnsi="Times New Roman" w:cs="Times New Roman"/>
                <w:sz w:val="20"/>
                <w:szCs w:val="20"/>
              </w:rPr>
              <w:t xml:space="preserve"> </w:t>
            </w:r>
            <w:hyperlink r:id="rId6" w:history="1">
              <w:r w:rsidRPr="008276D4">
                <w:rPr>
                  <w:rStyle w:val="Hiperhivatkozs"/>
                  <w:rFonts w:ascii="Times New Roman" w:hAnsi="Times New Roman" w:cs="Times New Roman"/>
                  <w:sz w:val="20"/>
                  <w:szCs w:val="20"/>
                </w:rPr>
                <w:t>apuszta@bv.gov.hu</w:t>
              </w:r>
            </w:hyperlink>
            <w:r w:rsidRPr="003A1469">
              <w:rPr>
                <w:rFonts w:ascii="Times New Roman" w:hAnsi="Times New Roman" w:cs="Times New Roman"/>
                <w:sz w:val="20"/>
                <w:szCs w:val="20"/>
              </w:rPr>
              <w:t>)</w:t>
            </w:r>
          </w:p>
        </w:tc>
      </w:tr>
      <w:tr w:rsidR="00C06276" w:rsidTr="00E02E07">
        <w:trPr>
          <w:trHeight w:val="567"/>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5843" w:type="dxa"/>
          </w:tcPr>
          <w:p w:rsidR="00C06276" w:rsidRDefault="00C06276" w:rsidP="00E02E07">
            <w:r>
              <w:rPr>
                <w:rFonts w:ascii="Times New Roman" w:hAnsi="Times New Roman" w:cs="Times New Roman"/>
                <w:sz w:val="20"/>
                <w:szCs w:val="20"/>
              </w:rPr>
              <w:t>-</w:t>
            </w:r>
          </w:p>
        </w:tc>
      </w:tr>
      <w:tr w:rsidR="00C06276" w:rsidTr="00E02E07">
        <w:trPr>
          <w:trHeight w:val="567"/>
        </w:trPr>
        <w:tc>
          <w:tcPr>
            <w:tcW w:w="3369" w:type="dxa"/>
          </w:tcPr>
          <w:p w:rsidR="00C06276" w:rsidRPr="003A1469" w:rsidRDefault="00C06276" w:rsidP="00E02E07">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5843" w:type="dxa"/>
          </w:tcPr>
          <w:p w:rsidR="00C06276" w:rsidRDefault="00C06276" w:rsidP="00E02E07">
            <w:r w:rsidRPr="00A03507">
              <w:rPr>
                <w:rFonts w:ascii="Times New Roman" w:hAnsi="Times New Roman" w:cs="Times New Roman"/>
                <w:sz w:val="20"/>
                <w:szCs w:val="20"/>
              </w:rPr>
              <w:t>A büntetés-végrehajtási szervezet Adatvédelmi és Adatbiztonsági Szabályzatában, valamint a büntetés-végrehajtási szervezet, a Belügyminisztérium és a NISZ Informatikai Biztonsági Szabályzatában foglalt intézkedések</w:t>
            </w:r>
          </w:p>
        </w:tc>
      </w:tr>
    </w:tbl>
    <w:p w:rsidR="00C06276" w:rsidRDefault="00C06276" w:rsidP="00C06276">
      <w:pPr>
        <w:jc w:val="both"/>
        <w:rPr>
          <w:rFonts w:ascii="Times New Roman" w:hAnsi="Times New Roman" w:cs="Times New Roman"/>
          <w:sz w:val="24"/>
          <w:szCs w:val="24"/>
        </w:rPr>
      </w:pPr>
    </w:p>
    <w:p w:rsidR="00C06276" w:rsidRPr="005437E7" w:rsidRDefault="00C06276" w:rsidP="00C06276">
      <w:pPr>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C06276" w:rsidRDefault="00C06276" w:rsidP="00C06276">
      <w:pPr>
        <w:jc w:val="both"/>
        <w:rPr>
          <w:rFonts w:ascii="Times New Roman" w:hAnsi="Times New Roman" w:cs="Times New Roman"/>
          <w:sz w:val="20"/>
          <w:szCs w:val="24"/>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Hozzájáruláson alapuló </w:t>
      </w:r>
      <w:r w:rsidRPr="00233CDE">
        <w:rPr>
          <w:rFonts w:ascii="Times New Roman" w:hAnsi="Times New Roman" w:cs="Times New Roman"/>
          <w:sz w:val="20"/>
          <w:szCs w:val="20"/>
        </w:rPr>
        <w:t>adatkezelés</w:t>
      </w:r>
      <w:r w:rsidRPr="005437E7">
        <w:rPr>
          <w:rFonts w:ascii="Times New Roman" w:hAnsi="Times New Roman" w:cs="Times New Roman"/>
          <w:sz w:val="20"/>
          <w:szCs w:val="20"/>
        </w:rPr>
        <w:t xml:space="preserve"> esetén jogosult a hozzájárulás bármely időpontban történő visszavonásához, mely nem érinti a visszavonás előtt a hozzájárulás alapján végrehajtott adatkezelés jogszerűségét.</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érintetti jogairól,</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C06276" w:rsidRPr="005437E7" w:rsidRDefault="00C06276" w:rsidP="00C06276">
      <w:pPr>
        <w:ind w:left="360"/>
        <w:jc w:val="both"/>
        <w:rPr>
          <w:rFonts w:ascii="Times New Roman" w:hAnsi="Times New Roman" w:cs="Times New Roman"/>
          <w:sz w:val="20"/>
          <w:szCs w:val="20"/>
        </w:rPr>
      </w:pPr>
    </w:p>
    <w:p w:rsidR="00AC7E27" w:rsidRPr="00AC7E27" w:rsidRDefault="00AC7E27" w:rsidP="00AC7E27">
      <w:pPr>
        <w:jc w:val="both"/>
        <w:rPr>
          <w:rFonts w:ascii="Times New Roman" w:hAnsi="Times New Roman" w:cs="Times New Roman"/>
          <w:sz w:val="20"/>
          <w:szCs w:val="20"/>
        </w:rPr>
      </w:pPr>
      <w:r w:rsidRPr="00AC7E27">
        <w:rPr>
          <w:rFonts w:ascii="Times New Roman" w:hAnsi="Times New Roman" w:cs="Times New Roman"/>
          <w:sz w:val="20"/>
          <w:szCs w:val="20"/>
        </w:rPr>
        <w:t>Bármely érintetti jog gyakorlására irányuló kérelemről is legyen szó, az adatkezelő indokolatlan késedelem nélkül, de mindenféleképpen a kérelem beérkezésétől számított egy hónapon belül köteles tájékoztatást adni a kérelem nyomán hozott intézkedéseiről. Szükség esetén – figyelembe véve a kérelem összetettségét és a kérelmek számát – ez a határidő további két hónappal meghosszabbítható. A határidő meghosszabbításáról azonban az adatkezelő köteles a késedelem okainak megjelölésével a kérelem kézhezvételétől számított egy hónapon belül tájékoztatást adni.</w:t>
      </w:r>
    </w:p>
    <w:p w:rsidR="00AC7E27" w:rsidRPr="00AC7E27" w:rsidRDefault="00AC7E27" w:rsidP="00AC7E27">
      <w:pPr>
        <w:jc w:val="both"/>
        <w:rPr>
          <w:rFonts w:ascii="Times New Roman" w:hAnsi="Times New Roman" w:cs="Times New Roman"/>
          <w:sz w:val="20"/>
          <w:szCs w:val="20"/>
        </w:rPr>
      </w:pPr>
    </w:p>
    <w:p w:rsidR="00C06276" w:rsidRPr="00AC7E27" w:rsidRDefault="00AC7E27" w:rsidP="00AC7E27">
      <w:pPr>
        <w:jc w:val="both"/>
        <w:rPr>
          <w:rFonts w:ascii="Times New Roman" w:hAnsi="Times New Roman" w:cs="Times New Roman"/>
          <w:sz w:val="20"/>
          <w:szCs w:val="20"/>
        </w:rPr>
      </w:pPr>
      <w:r w:rsidRPr="00AC7E27">
        <w:rPr>
          <w:rFonts w:ascii="Times New Roman" w:hAnsi="Times New Roman" w:cs="Times New Roman"/>
          <w:sz w:val="20"/>
          <w:szCs w:val="20"/>
        </w:rPr>
        <w:t>Az érintetti kérelmekre vonatkozó tájékoztatás és intézkedés főszabály szerint díjmentes. Ha azonban a kérelem egyértelműen megalapozatlan vagy – különösen ismétlődő jellege miatt – túlzó, az adatkezelő, figyelemmel a kért információ vagy tájékoztatás nyújtásával vagy a kért intézkedés meghozatalával járó adminisztratív költségekre ésszerű összegű díjat számíthat fel, vagy megtagadhatja a kérelem alapján történő intézkedést. A kérelem egyértelműen megalapozatlan vagy túlzó jellegének bizonyítása azonban az adatkezelőt terheli</w:t>
      </w:r>
      <w:r w:rsidR="00C06276" w:rsidRPr="00AC7E27">
        <w:rPr>
          <w:rFonts w:ascii="Times New Roman" w:hAnsi="Times New Roman" w:cs="Times New Roman"/>
          <w:sz w:val="20"/>
          <w:szCs w:val="20"/>
        </w:rPr>
        <w:t>.</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C06276" w:rsidRPr="00871043" w:rsidRDefault="00C06276" w:rsidP="00C06276">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C06276"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C06276"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C06276" w:rsidRDefault="00C06276" w:rsidP="00C06276">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C06276" w:rsidRPr="00871043" w:rsidRDefault="00C06276" w:rsidP="00C06276">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C06276" w:rsidRPr="00871043" w:rsidRDefault="00C06276" w:rsidP="00C06276">
      <w:pPr>
        <w:pStyle w:val="Listaszerbekezds"/>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C06276" w:rsidRPr="005437E7"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C06276" w:rsidRDefault="00C06276" w:rsidP="00C06276">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C06276" w:rsidRDefault="00C06276" w:rsidP="00C06276">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C06276" w:rsidRPr="00871043" w:rsidRDefault="00C06276" w:rsidP="00C06276">
      <w:pPr>
        <w:ind w:left="360"/>
        <w:jc w:val="both"/>
        <w:rPr>
          <w:rFonts w:ascii="Times New Roman" w:hAnsi="Times New Roman" w:cs="Times New Roman"/>
          <w:sz w:val="20"/>
          <w:szCs w:val="20"/>
        </w:rPr>
      </w:pPr>
    </w:p>
    <w:p w:rsidR="00C06276"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06276" w:rsidRPr="005437E7" w:rsidRDefault="00C06276" w:rsidP="00C06276">
      <w:pPr>
        <w:jc w:val="both"/>
        <w:rPr>
          <w:rFonts w:ascii="Times New Roman" w:hAnsi="Times New Roman" w:cs="Times New Roman"/>
          <w:sz w:val="20"/>
          <w:szCs w:val="20"/>
        </w:rPr>
      </w:pPr>
    </w:p>
    <w:p w:rsidR="00C06276" w:rsidRDefault="00C06276" w:rsidP="00C06276">
      <w:pPr>
        <w:jc w:val="both"/>
        <w:rPr>
          <w:rFonts w:ascii="Times New Roman" w:eastAsia="Times New Roman" w:hAnsi="Times New Roman" w:cs="Times New Roman"/>
          <w:sz w:val="20"/>
          <w:szCs w:val="20"/>
          <w:lang w:eastAsia="hu-HU"/>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w:t>
      </w:r>
      <w:r>
        <w:rPr>
          <w:rFonts w:ascii="Times New Roman" w:eastAsia="Times New Roman" w:hAnsi="Times New Roman" w:cs="Times New Roman"/>
          <w:sz w:val="20"/>
          <w:szCs w:val="20"/>
          <w:lang w:eastAsia="hu-HU"/>
        </w:rPr>
        <w:t xml:space="preserve">fordulhat (székhely: 1055 Budapest, Falk Miksa utca 9-11., levelezési cím: </w:t>
      </w:r>
      <w:r w:rsidRPr="009501EE">
        <w:rPr>
          <w:rFonts w:ascii="Times New Roman" w:eastAsia="Times New Roman" w:hAnsi="Times New Roman" w:cs="Times New Roman"/>
          <w:sz w:val="20"/>
          <w:szCs w:val="20"/>
          <w:lang w:eastAsia="hu-HU"/>
        </w:rPr>
        <w:t>1363</w:t>
      </w:r>
      <w:r>
        <w:rPr>
          <w:rFonts w:ascii="Times New Roman" w:eastAsia="Times New Roman" w:hAnsi="Times New Roman" w:cs="Times New Roman"/>
          <w:sz w:val="20"/>
          <w:szCs w:val="20"/>
          <w:lang w:eastAsia="hu-HU"/>
        </w:rPr>
        <w:t xml:space="preserve"> </w:t>
      </w:r>
      <w:r w:rsidRPr="009501EE">
        <w:rPr>
          <w:rFonts w:ascii="Times New Roman" w:eastAsia="Times New Roman" w:hAnsi="Times New Roman" w:cs="Times New Roman"/>
          <w:sz w:val="20"/>
          <w:szCs w:val="20"/>
          <w:lang w:eastAsia="hu-HU"/>
        </w:rPr>
        <w:t>Budapest, Pf. 9.</w:t>
      </w:r>
      <w:r>
        <w:rPr>
          <w:rFonts w:ascii="Times New Roman" w:eastAsia="Times New Roman" w:hAnsi="Times New Roman" w:cs="Times New Roman"/>
          <w:sz w:val="20"/>
          <w:szCs w:val="20"/>
          <w:lang w:eastAsia="hu-HU"/>
        </w:rPr>
        <w:t xml:space="preserve"> telefon: 06/1/391-1400, e-mail: ugyfelszolgalat@naih.hu).</w:t>
      </w:r>
    </w:p>
    <w:p w:rsidR="00C06276" w:rsidRPr="005437E7" w:rsidRDefault="00C06276" w:rsidP="00C06276">
      <w:pPr>
        <w:jc w:val="both"/>
        <w:rPr>
          <w:rFonts w:ascii="Times New Roman" w:hAnsi="Times New Roman" w:cs="Times New Roman"/>
          <w:sz w:val="20"/>
          <w:szCs w:val="20"/>
        </w:rPr>
      </w:pPr>
    </w:p>
    <w:p w:rsidR="00C06276" w:rsidRPr="005437E7" w:rsidRDefault="00C06276" w:rsidP="00C06276">
      <w:pPr>
        <w:ind w:left="720"/>
        <w:jc w:val="both"/>
        <w:rPr>
          <w:rFonts w:ascii="Times New Roman" w:hAnsi="Times New Roman" w:cs="Times New Roman"/>
          <w:sz w:val="20"/>
          <w:szCs w:val="20"/>
        </w:rPr>
      </w:pPr>
    </w:p>
    <w:p w:rsidR="00C06276" w:rsidRDefault="00C06276" w:rsidP="00C06276">
      <w:pPr>
        <w:jc w:val="both"/>
        <w:rPr>
          <w:rFonts w:ascii="Times New Roman" w:hAnsi="Times New Roman" w:cs="Times New Roman"/>
          <w:sz w:val="20"/>
          <w:szCs w:val="20"/>
        </w:rPr>
      </w:pPr>
      <w:r w:rsidRPr="005437E7">
        <w:rPr>
          <w:rFonts w:ascii="Times New Roman" w:hAnsi="Times New Roman" w:cs="Times New Roman"/>
          <w:sz w:val="20"/>
          <w:szCs w:val="20"/>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w:t>
      </w:r>
      <w:bookmarkStart w:id="0" w:name="_GoBack"/>
      <w:bookmarkEnd w:id="0"/>
      <w:r w:rsidRPr="005437E7">
        <w:rPr>
          <w:rFonts w:ascii="Times New Roman" w:hAnsi="Times New Roman" w:cs="Times New Roman"/>
          <w:sz w:val="20"/>
          <w:szCs w:val="20"/>
        </w:rPr>
        <w:t xml:space="preserve">ti meg: </w:t>
      </w:r>
      <w:hyperlink r:id="rId7"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AB56DE" w:rsidRDefault="00AB56DE"/>
    <w:sectPr w:rsidR="00AB5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506E5E"/>
    <w:multiLevelType w:val="hybridMultilevel"/>
    <w:tmpl w:val="8EF4BB48"/>
    <w:lvl w:ilvl="0" w:tplc="4C1EA2D6">
      <w:start w:val="1"/>
      <w:numFmt w:val="decimal"/>
      <w:lvlText w:val="%1."/>
      <w:lvlJc w:val="left"/>
      <w:pPr>
        <w:ind w:left="6024" w:hanging="360"/>
      </w:pPr>
      <w:rPr>
        <w:rFonts w:ascii="Times New Roman" w:eastAsia="Times New Roman" w:hAnsi="Times New Roman" w:cs="Times New Roman" w:hint="default"/>
        <w:sz w:val="24"/>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76"/>
    <w:rsid w:val="00233CDE"/>
    <w:rsid w:val="00AB56DE"/>
    <w:rsid w:val="00AC7E27"/>
    <w:rsid w:val="00C062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rosag.hu/torvenysze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szta@bv.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8158</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sztojanovics.k</dc:creator>
  <cp:lastModifiedBy>sztojanovics.k</cp:lastModifiedBy>
  <cp:revision>3</cp:revision>
  <dcterms:created xsi:type="dcterms:W3CDTF">2024-05-08T11:32:00Z</dcterms:created>
  <dcterms:modified xsi:type="dcterms:W3CDTF">2024-05-08T11:42:00Z</dcterms:modified>
</cp:coreProperties>
</file>