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0432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2788E" w:rsidP="00943F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30527-13/2-22/2024.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A06FF5" w:rsidP="00C96C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Jogviszony megszűnésével, megszüntetésével</w:t>
            </w:r>
            <w:r w:rsidR="00C96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kapcsolatos adatok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A szolgálati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viszony megszűnése esetén a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személyi </w:t>
            </w:r>
          </w:p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állomány tagjával való elszámolás dokumentálása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törvény  99.  §,  272.  §, 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8/E.  §, 289/W. §;  1992.  évi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2012. évi XLII. törvény 99. § (2) bekezdés, 1992. évi </w:t>
            </w:r>
          </w:p>
          <w:p w:rsidR="003F60C6" w:rsidRPr="003A1469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 (2) bekezdés szerinti adatok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06FF5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943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242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D0CD6" w:rsidRPr="00DD0CD6" w:rsidRDefault="00DD0CD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D6">
              <w:rPr>
                <w:rFonts w:ascii="Times New Roman" w:hAnsi="Times New Roman" w:cs="Times New Roman"/>
                <w:sz w:val="20"/>
                <w:szCs w:val="20"/>
              </w:rPr>
              <w:t>Szabolcs-Szatmár-Bereg Vármegyei Bv. Intézet</w:t>
            </w:r>
          </w:p>
          <w:p w:rsidR="00DD0CD6" w:rsidRPr="00DD0CD6" w:rsidRDefault="00DD0CD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D6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DD0CD6" w:rsidRPr="00DD0CD6" w:rsidRDefault="00DD0CD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CD6">
              <w:rPr>
                <w:rFonts w:ascii="Times New Roman" w:hAnsi="Times New Roman" w:cs="Times New Roman"/>
                <w:sz w:val="20"/>
                <w:szCs w:val="20"/>
              </w:rPr>
              <w:t xml:space="preserve">Pusztahelyiné Szalkai Tünde Carmen  bv. alezredes és Szilágyi Gábor bv. százados 06-42/411-400, </w:t>
            </w:r>
          </w:p>
          <w:p w:rsidR="003F60C6" w:rsidRPr="003A1469" w:rsidRDefault="00DD0CD6" w:rsidP="00DD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0CD6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96CD9" w:rsidP="00DD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0432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0432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Pr="005437E7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270F37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0432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270F37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5E" w:rsidRDefault="001D435E" w:rsidP="00B0432A">
      <w:pPr>
        <w:spacing w:after="0" w:line="240" w:lineRule="auto"/>
      </w:pPr>
      <w:r>
        <w:separator/>
      </w:r>
    </w:p>
  </w:endnote>
  <w:endnote w:type="continuationSeparator" w:id="0">
    <w:p w:rsidR="001D435E" w:rsidRDefault="001D435E" w:rsidP="00B0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531481"/>
      <w:docPartObj>
        <w:docPartGallery w:val="Page Numbers (Bottom of Page)"/>
        <w:docPartUnique/>
      </w:docPartObj>
    </w:sdtPr>
    <w:sdtEndPr/>
    <w:sdtContent>
      <w:p w:rsidR="00B0432A" w:rsidRDefault="00D23D5B">
        <w:pPr>
          <w:pStyle w:val="llb"/>
          <w:jc w:val="right"/>
        </w:pPr>
        <w:r>
          <w:fldChar w:fldCharType="begin"/>
        </w:r>
        <w:r w:rsidR="00B0432A">
          <w:instrText>PAGE   \* MERGEFORMAT</w:instrText>
        </w:r>
        <w:r>
          <w:fldChar w:fldCharType="separate"/>
        </w:r>
        <w:r w:rsidR="0002788E">
          <w:rPr>
            <w:noProof/>
          </w:rPr>
          <w:t>1</w:t>
        </w:r>
        <w:r>
          <w:fldChar w:fldCharType="end"/>
        </w:r>
      </w:p>
    </w:sdtContent>
  </w:sdt>
  <w:p w:rsidR="00B0432A" w:rsidRDefault="00B043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5E" w:rsidRDefault="001D435E" w:rsidP="00B0432A">
      <w:pPr>
        <w:spacing w:after="0" w:line="240" w:lineRule="auto"/>
      </w:pPr>
      <w:r>
        <w:separator/>
      </w:r>
    </w:p>
  </w:footnote>
  <w:footnote w:type="continuationSeparator" w:id="0">
    <w:p w:rsidR="001D435E" w:rsidRDefault="001D435E" w:rsidP="00B0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2788E"/>
    <w:rsid w:val="000947E2"/>
    <w:rsid w:val="00096F23"/>
    <w:rsid w:val="000B3A67"/>
    <w:rsid w:val="000E1DCA"/>
    <w:rsid w:val="00136334"/>
    <w:rsid w:val="00160A8C"/>
    <w:rsid w:val="00181CBE"/>
    <w:rsid w:val="00191152"/>
    <w:rsid w:val="001D435E"/>
    <w:rsid w:val="00270F37"/>
    <w:rsid w:val="002A2948"/>
    <w:rsid w:val="002B1B11"/>
    <w:rsid w:val="00373B36"/>
    <w:rsid w:val="003B3FEF"/>
    <w:rsid w:val="003F60C6"/>
    <w:rsid w:val="00452F61"/>
    <w:rsid w:val="004E6C27"/>
    <w:rsid w:val="0052541C"/>
    <w:rsid w:val="005437E7"/>
    <w:rsid w:val="005B4F14"/>
    <w:rsid w:val="0060114F"/>
    <w:rsid w:val="006A7634"/>
    <w:rsid w:val="006F717E"/>
    <w:rsid w:val="008242BD"/>
    <w:rsid w:val="00827FAA"/>
    <w:rsid w:val="00850250"/>
    <w:rsid w:val="008623D9"/>
    <w:rsid w:val="00866D28"/>
    <w:rsid w:val="00871043"/>
    <w:rsid w:val="008C172E"/>
    <w:rsid w:val="008F0B20"/>
    <w:rsid w:val="009046C6"/>
    <w:rsid w:val="00933E16"/>
    <w:rsid w:val="00942EDD"/>
    <w:rsid w:val="00943FAA"/>
    <w:rsid w:val="00960A9C"/>
    <w:rsid w:val="009C3F0F"/>
    <w:rsid w:val="009C7FF6"/>
    <w:rsid w:val="009E38A5"/>
    <w:rsid w:val="00A06FF5"/>
    <w:rsid w:val="00AB14A3"/>
    <w:rsid w:val="00B0432A"/>
    <w:rsid w:val="00B2116F"/>
    <w:rsid w:val="00B5201F"/>
    <w:rsid w:val="00B923E4"/>
    <w:rsid w:val="00BE663B"/>
    <w:rsid w:val="00BF79C8"/>
    <w:rsid w:val="00C46BBD"/>
    <w:rsid w:val="00C5203E"/>
    <w:rsid w:val="00C96CD9"/>
    <w:rsid w:val="00D23D5B"/>
    <w:rsid w:val="00D63DDC"/>
    <w:rsid w:val="00DD0CD6"/>
    <w:rsid w:val="00EB7FEA"/>
    <w:rsid w:val="00F62A39"/>
    <w:rsid w:val="00F67214"/>
    <w:rsid w:val="00FA35D9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4</cp:revision>
  <cp:lastPrinted>2019-06-18T13:21:00Z</cp:lastPrinted>
  <dcterms:created xsi:type="dcterms:W3CDTF">2024-01-19T12:19:00Z</dcterms:created>
  <dcterms:modified xsi:type="dcterms:W3CDTF">2024-01-22T11:32:00Z</dcterms:modified>
</cp:coreProperties>
</file>