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62" w:rsidRDefault="000F7562" w:rsidP="000F7562">
      <w:pPr>
        <w:pStyle w:val="NormlWeb"/>
        <w:spacing w:after="284" w:afterAutospacing="0"/>
        <w:jc w:val="center"/>
      </w:pPr>
      <w:bookmarkStart w:id="0" w:name="_GoBack"/>
      <w:bookmarkEnd w:id="0"/>
      <w:r>
        <w:rPr>
          <w:b/>
          <w:bCs/>
        </w:rPr>
        <w:t>A büntetés-végrehajtás országos parancsnokának</w:t>
      </w:r>
      <w:r>
        <w:rPr>
          <w:b/>
          <w:bCs/>
        </w:rPr>
        <w:br/>
        <w:t>60/2016. (XII.28.) OP</w:t>
      </w:r>
    </w:p>
    <w:p w:rsidR="000F7562" w:rsidRDefault="000F7562" w:rsidP="000F7562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>s z a k u t a s í t á s a</w:t>
      </w:r>
    </w:p>
    <w:p w:rsidR="000F7562" w:rsidRDefault="000F7562" w:rsidP="000F7562">
      <w:pPr>
        <w:pStyle w:val="NormlWeb"/>
        <w:spacing w:after="284" w:afterAutospacing="0"/>
        <w:jc w:val="center"/>
      </w:pPr>
      <w:r>
        <w:rPr>
          <w:b/>
          <w:bCs/>
          <w:i/>
          <w:iCs/>
        </w:rPr>
        <w:t>a büntetés-végrehajtás személyi állománya pénztári tagságának szabályairól</w:t>
      </w:r>
    </w:p>
    <w:p w:rsidR="000F7562" w:rsidRDefault="000F7562" w:rsidP="000F7562">
      <w:pPr>
        <w:pStyle w:val="NormlWeb"/>
        <w:spacing w:after="284" w:afterAutospacing="0"/>
      </w:pPr>
      <w:r>
        <w:t>A büntetés-végrehajtási szervezet belső szabályozási tevékenységéről szóló 2/2013. (IX.13.) BVOP utasítás 7. pontja alapján - figyelemmel a rendvédelmi feladatokat ellátó szervek hivatásos állományának szolgálati jogviszonyáról szóló 2015. évi XLII. törvényre, a közalkalmazottak jogállásáról szóló 1992. évi XXXIII. törvényre, a személyi jövedelemadóról szóló 1995. évi CXVII. törvényre, az Önkéntes Kölcsönös Biztosító Pénztárakról szóló 1993. évi XCVI. törvényre, továbbá a válaszható béren kívüli juttatások rendszeréről szóló OP szakutasítására - a büntetés-végrehajtás személyi állománya pénztári tagságának szabályairól a következő szakutasítást adom ki.</w:t>
      </w:r>
    </w:p>
    <w:p w:rsidR="000F7562" w:rsidRDefault="000F7562" w:rsidP="000F7562">
      <w:pPr>
        <w:pStyle w:val="NormlWeb"/>
        <w:jc w:val="center"/>
      </w:pPr>
      <w:r>
        <w:rPr>
          <w:b/>
          <w:bCs/>
        </w:rPr>
        <w:t>I.</w:t>
      </w:r>
    </w:p>
    <w:p w:rsidR="000F7562" w:rsidRDefault="000F7562" w:rsidP="000F7562">
      <w:pPr>
        <w:pStyle w:val="NormlWeb"/>
        <w:spacing w:after="284" w:afterAutospacing="0"/>
        <w:jc w:val="center"/>
      </w:pPr>
      <w:r>
        <w:rPr>
          <w:b/>
          <w:bCs/>
        </w:rPr>
        <w:t>A szakutasítás hatálya</w:t>
      </w:r>
    </w:p>
    <w:p w:rsidR="000F7562" w:rsidRDefault="000F7562" w:rsidP="000F7562">
      <w:pPr>
        <w:pStyle w:val="NormlWeb"/>
        <w:spacing w:after="284" w:afterAutospacing="0"/>
        <w:ind w:left="567" w:hanging="284"/>
      </w:pPr>
      <w:r>
        <w:t>1.  A szakutasítás hatálya a büntetés-végrehajtási intézetek és intézmények, valamint a Büntetés-végrehajtás Országos Parancsnoksága (a továbbiakban: BVOP, mind együtt: munkáltatók) hivatásos állományú tagjaira, közalkalmazottaira és kormánytisztviselőire (a továbbiakban: a személyi állomány tagja) terjed ki.</w:t>
      </w:r>
    </w:p>
    <w:p w:rsidR="000F7562" w:rsidRDefault="000F7562" w:rsidP="000F7562">
      <w:pPr>
        <w:pStyle w:val="NormlWeb"/>
        <w:jc w:val="center"/>
      </w:pPr>
    </w:p>
    <w:p w:rsidR="000F7562" w:rsidRDefault="000F7562" w:rsidP="000F7562">
      <w:pPr>
        <w:pStyle w:val="NormlWeb"/>
        <w:jc w:val="center"/>
      </w:pPr>
      <w:r>
        <w:rPr>
          <w:b/>
          <w:bCs/>
        </w:rPr>
        <w:t>II.</w:t>
      </w:r>
    </w:p>
    <w:p w:rsidR="000F7562" w:rsidRDefault="000F7562" w:rsidP="000F7562">
      <w:pPr>
        <w:pStyle w:val="NormlWeb"/>
        <w:spacing w:after="284" w:afterAutospacing="0"/>
        <w:jc w:val="center"/>
      </w:pPr>
      <w:r>
        <w:rPr>
          <w:b/>
          <w:bCs/>
        </w:rPr>
        <w:t>Általános rendelkezések</w:t>
      </w:r>
    </w:p>
    <w:p w:rsidR="000F7562" w:rsidRDefault="000F7562" w:rsidP="000F7562">
      <w:pPr>
        <w:pStyle w:val="NormlWeb"/>
        <w:spacing w:after="284" w:afterAutospacing="0"/>
        <w:ind w:left="567" w:hanging="284"/>
      </w:pPr>
      <w:r>
        <w:t>2.  Munkáltatók vállalják a személyi állomány tagjai önkéntes nyugdíjpénztári, illetve egészség- és önsegélyező pénztári tagdíjának levonását, elutalását és bevallását.</w:t>
      </w:r>
    </w:p>
    <w:p w:rsidR="000F7562" w:rsidRDefault="000F7562" w:rsidP="000F7562">
      <w:pPr>
        <w:pStyle w:val="NormlWeb"/>
        <w:spacing w:after="284" w:afterAutospacing="0"/>
        <w:ind w:left="567" w:hanging="284"/>
      </w:pPr>
      <w:r>
        <w:t>3.  A személyi állomány tagja az önkéntes nyugdíjpénztári, illetve egészség- és önsegélyező pénztári munkáltatói hozzájárulást a választható béren kívüli juttatás (a továbbiakban: VBKJ) rendszer keretében béren kívüli juttatásként is választhatja.</w:t>
      </w:r>
    </w:p>
    <w:p w:rsidR="000F7562" w:rsidRDefault="000F7562" w:rsidP="000F7562">
      <w:pPr>
        <w:pStyle w:val="NormlWeb"/>
        <w:spacing w:after="284" w:afterAutospacing="0"/>
        <w:ind w:left="567" w:hanging="284"/>
      </w:pPr>
      <w:r>
        <w:t>4.  A pénztártag által fizetendő tagdíj összegét a büntetés-végrehajtási szervezet illetmény-számfejtését ellátó Magyar Államkincstár illetékes Igazgatósága (a továbbiakban: MÁK) a havi illetményből levonja, a VBKJ rendszerben választott munkáltatói hozzájárulás és a pénztártag által fizetendő tagdíjak összegét egyénre összesítve a MÁK által biztosított utalási állomány segítségével a munkáltatók utalják.</w:t>
      </w:r>
    </w:p>
    <w:p w:rsidR="000F7562" w:rsidRDefault="000F7562" w:rsidP="000F7562">
      <w:pPr>
        <w:pStyle w:val="NormlWeb"/>
        <w:spacing w:after="284" w:afterAutospacing="0"/>
        <w:ind w:left="567" w:hanging="284"/>
      </w:pPr>
      <w:r>
        <w:t>5.  A személyi állomány tagja a pénztári belépési nyilatkozatának másolati példányát a tagdíj levonhatósága, valamint a VBKJ rendszerben választott munkáltatói hozzájárulás számfejtése és utalása érdekében köteles a BVOP Közgazdasági Főosztályára megküldeni, amely nyilvántartásba vétel céljából továbbításra kerül a MÁK felé.</w:t>
      </w:r>
    </w:p>
    <w:p w:rsidR="000F7562" w:rsidRDefault="000F7562" w:rsidP="000F7562">
      <w:pPr>
        <w:pStyle w:val="NormlWeb"/>
        <w:spacing w:after="284" w:afterAutospacing="0"/>
        <w:ind w:left="567" w:hanging="284"/>
      </w:pPr>
      <w:r>
        <w:lastRenderedPageBreak/>
        <w:t>6.  A személyi állomány tagja jogosult egyénileg a havi rendszeres tagdíjon felül úgynevezett többlet tagdíj befizetésére is.</w:t>
      </w:r>
    </w:p>
    <w:p w:rsidR="000F7562" w:rsidRDefault="000F7562" w:rsidP="000F7562">
      <w:pPr>
        <w:pStyle w:val="NormlWeb"/>
        <w:spacing w:after="284" w:afterAutospacing="0"/>
        <w:ind w:left="567" w:hanging="284"/>
      </w:pPr>
      <w:r>
        <w:t>7.  A levont és átutalt tagdíjakhoz kapcsolódó kedvezmény csak az éves személyi jövedelemadó bevallás elkészítésekor érvényesíthető.</w:t>
      </w:r>
    </w:p>
    <w:p w:rsidR="000F7562" w:rsidRDefault="000F7562" w:rsidP="000F7562">
      <w:pPr>
        <w:pStyle w:val="NormlWeb"/>
        <w:spacing w:after="284" w:afterAutospacing="0"/>
        <w:ind w:left="567" w:hanging="284"/>
      </w:pPr>
      <w:r>
        <w:t>8.  A törvényben előírt munkáltatói szerződést a BVOP Közgazdasági Főosztálya köti meg keretszerződés formájában az összes érintett pénztárral.</w:t>
      </w:r>
    </w:p>
    <w:p w:rsidR="000F7562" w:rsidRDefault="000F7562" w:rsidP="000F7562">
      <w:pPr>
        <w:pStyle w:val="NormlWeb"/>
        <w:jc w:val="center"/>
      </w:pPr>
    </w:p>
    <w:p w:rsidR="000F7562" w:rsidRDefault="000F7562" w:rsidP="000F7562">
      <w:pPr>
        <w:pStyle w:val="NormlWeb"/>
        <w:jc w:val="center"/>
      </w:pPr>
      <w:r>
        <w:rPr>
          <w:b/>
          <w:bCs/>
        </w:rPr>
        <w:t>III.</w:t>
      </w:r>
    </w:p>
    <w:p w:rsidR="000F7562" w:rsidRDefault="000F7562" w:rsidP="000F7562">
      <w:pPr>
        <w:pStyle w:val="NormlWeb"/>
        <w:spacing w:after="284" w:afterAutospacing="0"/>
        <w:jc w:val="center"/>
      </w:pPr>
      <w:r>
        <w:rPr>
          <w:b/>
          <w:bCs/>
        </w:rPr>
        <w:t>Vegyes és záró rendelkezések</w:t>
      </w:r>
    </w:p>
    <w:p w:rsidR="000F7562" w:rsidRDefault="000F7562" w:rsidP="000F7562">
      <w:pPr>
        <w:pStyle w:val="NormlWeb"/>
        <w:spacing w:after="284" w:afterAutospacing="0"/>
        <w:ind w:left="567" w:hanging="284"/>
      </w:pPr>
      <w:r>
        <w:t>9.  A munkáltatók nevében eljárva a BVOP Közgazdasági Főosztálya eleget tesz a munkáltatót terhelő pénztári tagsággal összefüggő adatszolgáltatási kötelezettségeknek.</w:t>
      </w:r>
    </w:p>
    <w:p w:rsidR="000F7562" w:rsidRDefault="000F7562" w:rsidP="000F7562">
      <w:pPr>
        <w:pStyle w:val="NormlWeb"/>
        <w:spacing w:after="284" w:afterAutospacing="0"/>
        <w:ind w:left="567" w:hanging="284"/>
      </w:pPr>
      <w:r>
        <w:t>10. A személyi állomány tagja jogosult másik önkéntes pénztárba átlépni. Az átlépéshez az átlépési kérelmet és az új pénztár belépési nyilatkozatát a választott pénztárhoz kell megküldeni, illetve annak másolatát a BVOP Közgazdasági Főosztályának megküldeni.</w:t>
      </w:r>
    </w:p>
    <w:p w:rsidR="000F7562" w:rsidRDefault="000F7562" w:rsidP="000F7562">
      <w:pPr>
        <w:pStyle w:val="NormlWeb"/>
        <w:spacing w:after="284" w:afterAutospacing="0"/>
        <w:ind w:left="567" w:hanging="284"/>
      </w:pPr>
      <w:r>
        <w:t>11. A szakutasítás 2017. január 1-jén lép hatályba.</w:t>
      </w:r>
    </w:p>
    <w:p w:rsidR="000F7562" w:rsidRDefault="000F7562" w:rsidP="000F7562">
      <w:pPr>
        <w:pStyle w:val="NormlWeb"/>
        <w:spacing w:after="284" w:afterAutospacing="0"/>
        <w:ind w:left="567" w:hanging="284"/>
      </w:pPr>
      <w:r>
        <w:t>12. Hatályát veszti a büntetés-végrehajtás személyi állománya pénztári tagságának szabályairól szóló 1-1/84/2012. (XII.20.) OP intézkedés.</w:t>
      </w:r>
    </w:p>
    <w:p w:rsidR="000F7562" w:rsidRDefault="000F7562" w:rsidP="000F7562">
      <w:pPr>
        <w:pStyle w:val="NormlWeb"/>
        <w:spacing w:after="284" w:afterAutospacing="0"/>
        <w:ind w:left="567" w:hanging="284"/>
        <w:jc w:val="right"/>
      </w:pPr>
      <w:r>
        <w:rPr>
          <w:b/>
          <w:bCs/>
        </w:rPr>
        <w:t>Dr. Tóth Tamás bv. vezérőrnagy</w:t>
      </w:r>
      <w:r>
        <w:rPr>
          <w:b/>
          <w:bCs/>
        </w:rPr>
        <w:br/>
      </w:r>
      <w:r>
        <w:rPr>
          <w:sz w:val="20"/>
          <w:szCs w:val="20"/>
        </w:rPr>
        <w:t>országos parancsnok</w:t>
      </w:r>
    </w:p>
    <w:p w:rsidR="00C67C88" w:rsidRDefault="00F35062"/>
    <w:sectPr w:rsidR="00C6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0113"/>
    <w:multiLevelType w:val="multilevel"/>
    <w:tmpl w:val="E076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64A32"/>
    <w:multiLevelType w:val="multilevel"/>
    <w:tmpl w:val="5D08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D3CBB"/>
    <w:multiLevelType w:val="multilevel"/>
    <w:tmpl w:val="1D78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124C0"/>
    <w:multiLevelType w:val="multilevel"/>
    <w:tmpl w:val="00EA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42643"/>
    <w:multiLevelType w:val="multilevel"/>
    <w:tmpl w:val="0714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5A"/>
    <w:rsid w:val="000F7562"/>
    <w:rsid w:val="00563E5A"/>
    <w:rsid w:val="0071704D"/>
    <w:rsid w:val="00E126D3"/>
    <w:rsid w:val="00F3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6D913F2E</Template>
  <TotalTime>1</TotalTime>
  <Pages>2</Pages>
  <Words>437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karsai.csilla</dc:creator>
  <cp:lastModifiedBy>rideg.anita</cp:lastModifiedBy>
  <cp:revision>2</cp:revision>
  <dcterms:created xsi:type="dcterms:W3CDTF">2019-09-20T07:35:00Z</dcterms:created>
  <dcterms:modified xsi:type="dcterms:W3CDTF">2019-09-20T07:35:00Z</dcterms:modified>
</cp:coreProperties>
</file>