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D6" w:rsidRDefault="005B3FD6" w:rsidP="005B3FD6">
      <w:pPr>
        <w:pStyle w:val="NormlWeb"/>
        <w:spacing w:after="284" w:afterAutospacing="0"/>
        <w:jc w:val="center"/>
      </w:pPr>
      <w:bookmarkStart w:id="0" w:name="_GoBack"/>
      <w:bookmarkEnd w:id="0"/>
      <w:r>
        <w:rPr>
          <w:b/>
          <w:bCs/>
        </w:rPr>
        <w:t>A büntetés-végrehajtás országos parancsnokának</w:t>
      </w:r>
      <w:r>
        <w:rPr>
          <w:b/>
          <w:bCs/>
        </w:rPr>
        <w:br/>
        <w:t>86/2015. (XII.15.) OP</w:t>
      </w:r>
    </w:p>
    <w:p w:rsidR="005B3FD6" w:rsidRDefault="005B3FD6" w:rsidP="005B3FD6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5B3FD6" w:rsidRDefault="005B3FD6" w:rsidP="005B3FD6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büntetés-végrehajtási szervezet által fenntartott fekvőbeteg intézetek</w:t>
      </w:r>
      <w:r>
        <w:rPr>
          <w:b/>
          <w:bCs/>
          <w:i/>
          <w:iCs/>
        </w:rPr>
        <w:br/>
        <w:t>Egészségbiztosítási Alapból történő finanszírozásáról</w:t>
      </w:r>
    </w:p>
    <w:p w:rsidR="005B3FD6" w:rsidRDefault="005B3FD6" w:rsidP="005B3FD6">
      <w:pPr>
        <w:pStyle w:val="NormlWeb"/>
        <w:spacing w:after="284" w:afterAutospacing="0"/>
      </w:pPr>
      <w:r>
        <w:t>A büntetés-végrehajtási szervezet belső szabályozási tevékenységéről szóló 2/2013. (IX.13) BVOP utasítás 7. pontja alapján – figyelemmel az Országos Egészségbiztosítási Pénztár Közép-magyarországi Területi Hivatala, valamint a Büntetés-végrehajtás Országos Parancsnoksága között egészségügyi szolgáltatások finanszírozására létrejött szerződésre, továbbá az egészségügyi szolgáltatások Egészségbiztosítási Alapból történő finanszírozásának részletes szabályairól szóló 43/1999. (III.3.) Korm. rendeletben foglaltak alapján átadott pénzeszközök elosztására - a következő szakutasítást adom ki.</w:t>
      </w:r>
    </w:p>
    <w:p w:rsidR="005B3FD6" w:rsidRDefault="005B3FD6" w:rsidP="005B3FD6">
      <w:pPr>
        <w:pStyle w:val="NormlWeb"/>
        <w:ind w:left="567" w:hanging="284"/>
      </w:pPr>
      <w:r>
        <w:t>1.  Az Egészségbiztosítási Alapból történő finanszírozás jogcímen átadott pénzeszközökből a részesedést</w:t>
      </w:r>
    </w:p>
    <w:p w:rsidR="005B3FD6" w:rsidRDefault="005B3FD6" w:rsidP="005B3FD6">
      <w:pPr>
        <w:pStyle w:val="NormlWeb"/>
        <w:ind w:left="1134" w:hanging="284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>  </w:t>
      </w:r>
      <w:proofErr w:type="spellStart"/>
      <w:r>
        <w:t>a</w:t>
      </w:r>
      <w:proofErr w:type="spellEnd"/>
      <w:r>
        <w:t xml:space="preserve"> fogvatartotti elhelyezhető beteglétszám, </w:t>
      </w:r>
    </w:p>
    <w:p w:rsidR="005B3FD6" w:rsidRDefault="005B3FD6" w:rsidP="005B3FD6">
      <w:pPr>
        <w:pStyle w:val="NormlWeb"/>
        <w:ind w:left="1134" w:hanging="284"/>
      </w:pPr>
      <w:r>
        <w:rPr>
          <w:i/>
          <w:iCs/>
        </w:rPr>
        <w:t>b)  </w:t>
      </w:r>
      <w:r>
        <w:t xml:space="preserve">a szakellátási tevékenység jellege, </w:t>
      </w:r>
    </w:p>
    <w:p w:rsidR="005B3FD6" w:rsidRDefault="005B3FD6" w:rsidP="005B3FD6">
      <w:pPr>
        <w:pStyle w:val="NormlWeb"/>
        <w:ind w:left="1134" w:hanging="284"/>
      </w:pPr>
      <w:r>
        <w:rPr>
          <w:i/>
          <w:iCs/>
        </w:rPr>
        <w:t>c)  </w:t>
      </w:r>
      <w:r>
        <w:t xml:space="preserve">a betegforgalmi adatok </w:t>
      </w:r>
    </w:p>
    <w:p w:rsidR="005B3FD6" w:rsidRDefault="005B3FD6" w:rsidP="005B3FD6">
      <w:pPr>
        <w:pStyle w:val="NormlWeb"/>
        <w:spacing w:after="284" w:afterAutospacing="0"/>
        <w:ind w:left="567"/>
      </w:pPr>
      <w:proofErr w:type="gramStart"/>
      <w:r>
        <w:t>alapján</w:t>
      </w:r>
      <w:proofErr w:type="gramEnd"/>
      <w:r>
        <w:t xml:space="preserve"> határozom meg. </w:t>
      </w:r>
    </w:p>
    <w:p w:rsidR="005B3FD6" w:rsidRDefault="005B3FD6" w:rsidP="005B3FD6">
      <w:pPr>
        <w:pStyle w:val="NormlWeb"/>
        <w:spacing w:after="284" w:afterAutospacing="0"/>
        <w:ind w:left="567" w:hanging="284"/>
      </w:pPr>
      <w:r>
        <w:t>2.  Az időarányosan (havi bontásban) átadott összegekből a Büntetés-végrehajtás Központi Kórház (Tököl) és a Szegedi Fegyház és Börtön III. Objektuma (Nagyfa) együttesen 60 (hatvan) százalékban - mely összegből 2 (kettő) százalék a Szegedi Fegyház és Börtön nagyfai objektumát illeti - és az Igazságügyi Megfigyelő és Elmegyógyító Intézet 40 (negyven) százalékban részesül.</w:t>
      </w:r>
    </w:p>
    <w:p w:rsidR="005B3FD6" w:rsidRDefault="005B3FD6" w:rsidP="005B3FD6">
      <w:pPr>
        <w:pStyle w:val="NormlWeb"/>
        <w:spacing w:after="284" w:afterAutospacing="0"/>
        <w:ind w:left="567" w:hanging="284"/>
      </w:pPr>
      <w:r>
        <w:t xml:space="preserve">3.  A büntetés-végrehajtás keretében nyújtott egészségügyi szolgáltatások fennmaradó költségei a büntetés-végrehajtási szervezet központi költségvetését terhelik. </w:t>
      </w:r>
    </w:p>
    <w:p w:rsidR="005B3FD6" w:rsidRDefault="005B3FD6" w:rsidP="005B3FD6">
      <w:pPr>
        <w:pStyle w:val="NormlWeb"/>
        <w:spacing w:after="284" w:afterAutospacing="0"/>
        <w:ind w:left="567" w:hanging="284"/>
      </w:pPr>
      <w:r>
        <w:t>4.  Ez a szakutasítás 2015. december 15-én lép hatályba.</w:t>
      </w:r>
    </w:p>
    <w:p w:rsidR="005B3FD6" w:rsidRDefault="005B3FD6" w:rsidP="005B3FD6">
      <w:pPr>
        <w:pStyle w:val="NormlWeb"/>
        <w:spacing w:after="284" w:afterAutospacing="0"/>
        <w:ind w:left="567" w:hanging="284"/>
      </w:pPr>
      <w:r>
        <w:t xml:space="preserve">5.  Hatályát veszti a társadalombiztosítási támogatás jogcímen kiutalt pénzeszközök elosztásáról.1-1/73/2006. (IK </w:t>
      </w:r>
      <w:proofErr w:type="spellStart"/>
      <w:r>
        <w:t>Bv</w:t>
      </w:r>
      <w:proofErr w:type="spellEnd"/>
      <w:r>
        <w:t>. Mell 7.) OP intézkedés.</w:t>
      </w:r>
    </w:p>
    <w:p w:rsidR="005B3FD6" w:rsidRDefault="005B3FD6" w:rsidP="005B3FD6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bv.altábornagy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A832CD" w:rsidRDefault="00A832CD"/>
    <w:sectPr w:rsidR="00A8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BF"/>
    <w:rsid w:val="000114DE"/>
    <w:rsid w:val="005B3FD6"/>
    <w:rsid w:val="007B2CBF"/>
    <w:rsid w:val="00A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B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B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218DBC78</Template>
  <TotalTime>1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lovas.marietta</dc:creator>
  <cp:lastModifiedBy>rideg.anita</cp:lastModifiedBy>
  <cp:revision>2</cp:revision>
  <dcterms:created xsi:type="dcterms:W3CDTF">2019-09-20T07:28:00Z</dcterms:created>
  <dcterms:modified xsi:type="dcterms:W3CDTF">2019-09-20T07:28:00Z</dcterms:modified>
</cp:coreProperties>
</file>