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77" w:rsidRDefault="00161977" w:rsidP="00161977">
      <w:pPr>
        <w:pStyle w:val="lfej"/>
        <w:jc w:val="center"/>
        <w:rPr>
          <w:rFonts w:cs="Times New Roman"/>
        </w:rPr>
      </w:pPr>
      <w:r>
        <w:rPr>
          <w:rFonts w:cs="Times New Roman"/>
          <w:noProof/>
          <w:lang w:eastAsia="hu-HU"/>
        </w:rPr>
        <w:drawing>
          <wp:inline distT="0" distB="0" distL="0" distR="0" wp14:anchorId="0E80C8BC" wp14:editId="7DA1957B">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61977" w:rsidRDefault="00161977" w:rsidP="00161977">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161977" w:rsidRDefault="00161977" w:rsidP="00161977">
      <w:pPr>
        <w:pStyle w:val="lfej"/>
        <w:jc w:val="center"/>
        <w:rPr>
          <w:rFonts w:cs="Times New Roman"/>
        </w:rPr>
      </w:pPr>
      <w:r>
        <w:rPr>
          <w:rFonts w:cs="Times New Roman"/>
          <w:sz w:val="22"/>
        </w:rPr>
        <w:t xml:space="preserve">FIATALKORÚAK BÜNTETÉS-VÉGREHAJTÁSI INTÉZETE </w:t>
      </w:r>
    </w:p>
    <w:p w:rsidR="00161977" w:rsidRDefault="00161977" w:rsidP="00161977">
      <w:pPr>
        <w:spacing w:after="0" w:line="240" w:lineRule="auto"/>
        <w:jc w:val="center"/>
        <w:rPr>
          <w:rFonts w:cs="Times New Roman"/>
          <w:b/>
          <w:sz w:val="28"/>
          <w:szCs w:val="28"/>
        </w:rPr>
      </w:pPr>
    </w:p>
    <w:p w:rsidR="000D3A13" w:rsidRDefault="000D3A13" w:rsidP="000D3A13">
      <w:pPr>
        <w:spacing w:after="0" w:line="240" w:lineRule="auto"/>
        <w:jc w:val="center"/>
        <w:rPr>
          <w:rFonts w:cs="Times New Roman"/>
          <w:b/>
          <w:sz w:val="28"/>
          <w:szCs w:val="28"/>
        </w:rPr>
      </w:pPr>
      <w:r>
        <w:rPr>
          <w:rFonts w:cs="Times New Roman"/>
          <w:b/>
          <w:sz w:val="28"/>
          <w:szCs w:val="28"/>
        </w:rPr>
        <w:tab/>
      </w:r>
    </w:p>
    <w:p w:rsidR="00241F87" w:rsidRDefault="00241F87" w:rsidP="000D3A13">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0D3A13" w:rsidRPr="008F0216" w:rsidTr="000D3A13">
        <w:trPr>
          <w:trHeight w:val="454"/>
        </w:trPr>
        <w:tc>
          <w:tcPr>
            <w:tcW w:w="4606" w:type="dxa"/>
          </w:tcPr>
          <w:p w:rsidR="000D3A13" w:rsidRPr="008F0216" w:rsidRDefault="000D3A13" w:rsidP="00400CB3">
            <w:pPr>
              <w:rPr>
                <w:rFonts w:cs="Times New Roman"/>
                <w:sz w:val="20"/>
                <w:szCs w:val="20"/>
              </w:rPr>
            </w:pPr>
            <w:r>
              <w:rPr>
                <w:rFonts w:cs="Times New Roman"/>
                <w:sz w:val="20"/>
                <w:szCs w:val="20"/>
              </w:rPr>
              <w:t xml:space="preserve">Nyilvántartási szám: </w:t>
            </w:r>
          </w:p>
        </w:tc>
        <w:tc>
          <w:tcPr>
            <w:tcW w:w="4606" w:type="dxa"/>
          </w:tcPr>
          <w:p w:rsidR="000D3A13" w:rsidRPr="008F0216" w:rsidRDefault="0089106D" w:rsidP="00400CB3">
            <w:pPr>
              <w:jc w:val="both"/>
              <w:rPr>
                <w:rFonts w:cs="Times New Roman"/>
                <w:sz w:val="20"/>
                <w:szCs w:val="20"/>
              </w:rPr>
            </w:pPr>
            <w:r>
              <w:rPr>
                <w:rFonts w:cs="Times New Roman"/>
                <w:sz w:val="20"/>
                <w:szCs w:val="20"/>
              </w:rPr>
              <w:t>30513-13/18/2020.</w:t>
            </w:r>
            <w:bookmarkStart w:id="0" w:name="_GoBack"/>
            <w:bookmarkEnd w:id="0"/>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adatkezelés megnevezése</w:t>
            </w:r>
          </w:p>
        </w:tc>
        <w:tc>
          <w:tcPr>
            <w:tcW w:w="4606" w:type="dxa"/>
          </w:tcPr>
          <w:p w:rsidR="00161977" w:rsidRDefault="00161977" w:rsidP="00917040">
            <w:pPr>
              <w:jc w:val="both"/>
              <w:rPr>
                <w:rFonts w:cs="Times New Roman"/>
                <w:sz w:val="20"/>
                <w:szCs w:val="20"/>
              </w:rPr>
            </w:pPr>
            <w:r>
              <w:rPr>
                <w:rFonts w:cs="Times New Roman"/>
                <w:sz w:val="20"/>
                <w:szCs w:val="20"/>
              </w:rPr>
              <w:t xml:space="preserve">A Tököli Országos </w:t>
            </w:r>
            <w:proofErr w:type="spellStart"/>
            <w:r>
              <w:rPr>
                <w:rFonts w:cs="Times New Roman"/>
                <w:sz w:val="20"/>
                <w:szCs w:val="20"/>
              </w:rPr>
              <w:t>Bv</w:t>
            </w:r>
            <w:proofErr w:type="spellEnd"/>
            <w:r>
              <w:rPr>
                <w:rFonts w:cs="Times New Roman"/>
                <w:sz w:val="20"/>
                <w:szCs w:val="20"/>
              </w:rPr>
              <w:t>. Intézet Informatikai Osztálya személyi állományának név, TAJ szám, adószám, hadrendi szám, telefonszám kezelése.</w:t>
            </w:r>
          </w:p>
          <w:p w:rsidR="00161977" w:rsidRDefault="00161977" w:rsidP="00917040">
            <w:pPr>
              <w:jc w:val="both"/>
              <w:rPr>
                <w:rFonts w:cs="Times New Roman"/>
                <w:sz w:val="20"/>
                <w:szCs w:val="20"/>
              </w:rPr>
            </w:pPr>
            <w:r>
              <w:rPr>
                <w:rFonts w:cs="Times New Roman"/>
                <w:sz w:val="20"/>
                <w:szCs w:val="20"/>
              </w:rPr>
              <w:t xml:space="preserve">A Tököli Országos </w:t>
            </w:r>
            <w:proofErr w:type="spellStart"/>
            <w:r>
              <w:rPr>
                <w:rFonts w:cs="Times New Roman"/>
                <w:sz w:val="20"/>
                <w:szCs w:val="20"/>
              </w:rPr>
              <w:t>Bv</w:t>
            </w:r>
            <w:proofErr w:type="spellEnd"/>
            <w:r>
              <w:rPr>
                <w:rFonts w:cs="Times New Roman"/>
                <w:sz w:val="20"/>
                <w:szCs w:val="20"/>
              </w:rPr>
              <w:t xml:space="preserve">. Intézet, a Fiatalkorúak </w:t>
            </w:r>
            <w:proofErr w:type="spellStart"/>
            <w:r>
              <w:rPr>
                <w:rFonts w:cs="Times New Roman"/>
                <w:sz w:val="20"/>
                <w:szCs w:val="20"/>
              </w:rPr>
              <w:t>Bv</w:t>
            </w:r>
            <w:proofErr w:type="spellEnd"/>
            <w:r>
              <w:rPr>
                <w:rFonts w:cs="Times New Roman"/>
                <w:sz w:val="20"/>
                <w:szCs w:val="20"/>
              </w:rPr>
              <w:t>. Intézete és a Duna Papír Kft. személyi állományának loginnév, e-mail cím, PIN kód kezelése.</w:t>
            </w:r>
          </w:p>
          <w:p w:rsidR="00161977" w:rsidRPr="008F0216" w:rsidRDefault="00161977" w:rsidP="00917040">
            <w:pPr>
              <w:jc w:val="both"/>
              <w:rPr>
                <w:rFonts w:cs="Times New Roman"/>
                <w:sz w:val="20"/>
                <w:szCs w:val="20"/>
              </w:rPr>
            </w:pP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adatkezelés célja</w:t>
            </w:r>
          </w:p>
        </w:tc>
        <w:tc>
          <w:tcPr>
            <w:tcW w:w="4606" w:type="dxa"/>
          </w:tcPr>
          <w:p w:rsidR="00161977" w:rsidRDefault="00161977" w:rsidP="00917040">
            <w:pPr>
              <w:jc w:val="both"/>
              <w:rPr>
                <w:sz w:val="20"/>
                <w:szCs w:val="20"/>
              </w:rPr>
            </w:pPr>
            <w:r>
              <w:rPr>
                <w:rFonts w:cs="Times New Roman"/>
                <w:sz w:val="20"/>
                <w:szCs w:val="20"/>
              </w:rPr>
              <w:t xml:space="preserve">A Tököli Országos </w:t>
            </w:r>
            <w:proofErr w:type="spellStart"/>
            <w:r>
              <w:rPr>
                <w:rFonts w:cs="Times New Roman"/>
                <w:sz w:val="20"/>
                <w:szCs w:val="20"/>
              </w:rPr>
              <w:t>Bv</w:t>
            </w:r>
            <w:proofErr w:type="spellEnd"/>
            <w:r>
              <w:rPr>
                <w:rFonts w:cs="Times New Roman"/>
                <w:sz w:val="20"/>
                <w:szCs w:val="20"/>
              </w:rPr>
              <w:t xml:space="preserve">. Intézet Informatikai Osztálya </w:t>
            </w:r>
            <w:r>
              <w:rPr>
                <w:sz w:val="20"/>
                <w:szCs w:val="20"/>
              </w:rPr>
              <w:t>személyi állománya szolgálatszervezésének végrehajtása, az ahhoz kapcsolódó dokumentumok elkészítése.</w:t>
            </w:r>
          </w:p>
          <w:p w:rsidR="00161977" w:rsidRDefault="00161977" w:rsidP="00917040">
            <w:pPr>
              <w:jc w:val="both"/>
              <w:rPr>
                <w:sz w:val="20"/>
                <w:szCs w:val="20"/>
              </w:rPr>
            </w:pPr>
            <w:r>
              <w:rPr>
                <w:rFonts w:cs="Times New Roman"/>
                <w:sz w:val="20"/>
                <w:szCs w:val="20"/>
              </w:rPr>
              <w:t xml:space="preserve">A Tököli Országos </w:t>
            </w:r>
            <w:proofErr w:type="spellStart"/>
            <w:r>
              <w:rPr>
                <w:rFonts w:cs="Times New Roman"/>
                <w:sz w:val="20"/>
                <w:szCs w:val="20"/>
              </w:rPr>
              <w:t>Bv</w:t>
            </w:r>
            <w:proofErr w:type="spellEnd"/>
            <w:r>
              <w:rPr>
                <w:rFonts w:cs="Times New Roman"/>
                <w:sz w:val="20"/>
                <w:szCs w:val="20"/>
              </w:rPr>
              <w:t xml:space="preserve">. Intézet, a Fiatalkorúak </w:t>
            </w:r>
            <w:proofErr w:type="spellStart"/>
            <w:r>
              <w:rPr>
                <w:rFonts w:cs="Times New Roman"/>
                <w:sz w:val="20"/>
                <w:szCs w:val="20"/>
              </w:rPr>
              <w:t>Bv</w:t>
            </w:r>
            <w:proofErr w:type="spellEnd"/>
            <w:r>
              <w:rPr>
                <w:rFonts w:cs="Times New Roman"/>
                <w:sz w:val="20"/>
                <w:szCs w:val="20"/>
              </w:rPr>
              <w:t>. Intézete és a Duna Papír Kft. személyi állománya vonatkozásában a munkavégzéshez szükséges informatikai jogosultságok biztosítása, az elektronikus levelezés biztosítása, az intézeten kívüli telefonálás biztosítása.</w:t>
            </w:r>
          </w:p>
          <w:p w:rsidR="00161977" w:rsidRPr="004C6DE7" w:rsidRDefault="00161977" w:rsidP="00917040">
            <w:pPr>
              <w:jc w:val="both"/>
              <w:rPr>
                <w:rFonts w:cs="Times New Roman"/>
                <w:sz w:val="20"/>
                <w:szCs w:val="20"/>
              </w:rPr>
            </w:pP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adatkezelés jogalapja</w:t>
            </w:r>
          </w:p>
        </w:tc>
        <w:tc>
          <w:tcPr>
            <w:tcW w:w="4606" w:type="dxa"/>
          </w:tcPr>
          <w:p w:rsidR="00161977" w:rsidRDefault="00161977" w:rsidP="00917040">
            <w:pPr>
              <w:jc w:val="both"/>
              <w:rPr>
                <w:bCs/>
                <w:sz w:val="20"/>
                <w:szCs w:val="20"/>
              </w:rPr>
            </w:pPr>
            <w:r w:rsidRPr="004C6DE7">
              <w:rPr>
                <w:sz w:val="20"/>
                <w:szCs w:val="20"/>
              </w:rPr>
              <w:t xml:space="preserve">A </w:t>
            </w:r>
            <w:r w:rsidRPr="004C6DE7">
              <w:rPr>
                <w:bCs/>
                <w:sz w:val="20"/>
                <w:szCs w:val="20"/>
              </w:rPr>
              <w:t>rendvédelmi feladatokat ellátó szervek hivatásos állományának szolgálati jogviszonyáról</w:t>
            </w:r>
            <w:r w:rsidRPr="004C6DE7">
              <w:rPr>
                <w:sz w:val="20"/>
                <w:szCs w:val="20"/>
              </w:rPr>
              <w:t xml:space="preserve"> szóló </w:t>
            </w:r>
            <w:r w:rsidRPr="004C6DE7">
              <w:rPr>
                <w:bCs/>
                <w:sz w:val="20"/>
                <w:szCs w:val="20"/>
              </w:rPr>
              <w:t>2015. évi XLII. törvény</w:t>
            </w:r>
            <w:r w:rsidRPr="004C6DE7">
              <w:rPr>
                <w:sz w:val="20"/>
                <w:szCs w:val="20"/>
              </w:rPr>
              <w:t xml:space="preserve"> (a továbbiakban: Hszt.); a</w:t>
            </w:r>
            <w:r w:rsidRPr="004C6DE7">
              <w:rPr>
                <w:rFonts w:ascii="Times" w:hAnsi="Times" w:cs="Times"/>
                <w:b/>
                <w:bCs/>
                <w:sz w:val="20"/>
                <w:szCs w:val="20"/>
              </w:rPr>
              <w:t xml:space="preserve"> </w:t>
            </w:r>
            <w:r w:rsidRPr="004C6DE7">
              <w:rPr>
                <w:bCs/>
                <w:sz w:val="20"/>
                <w:szCs w:val="20"/>
              </w:rPr>
              <w:t>154/2015. (VI. 19.) Korm. rendelet</w:t>
            </w:r>
            <w:r w:rsidRPr="004C6DE7">
              <w:rPr>
                <w:b/>
                <w:bCs/>
                <w:sz w:val="20"/>
                <w:szCs w:val="20"/>
              </w:rPr>
              <w:t xml:space="preserve"> </w:t>
            </w:r>
            <w:r w:rsidRPr="004C6DE7">
              <w:rPr>
                <w:bCs/>
                <w:sz w:val="20"/>
                <w:szCs w:val="20"/>
              </w:rPr>
              <w:t>a rendvédelmi feladatokat ellátó szervek hivatásos állományának szolgálati jogviszonyáról szóló 2015. évi XLII. törvény végrehajtásáról;</w:t>
            </w:r>
            <w:r w:rsidRPr="004C6DE7">
              <w:rPr>
                <w:rFonts w:eastAsia="Calibri"/>
                <w:bCs/>
                <w:sz w:val="20"/>
                <w:szCs w:val="20"/>
              </w:rPr>
              <w:t xml:space="preserve"> a 31/2015. (VI. 16.) BM rendelet a belügyminiszter irányítása alá tartozó rendvédelmi feladatokat ellátó szervek hivatásos állományát érintő személyügyi igazgatás rendjéről; a </w:t>
            </w:r>
            <w:r w:rsidRPr="004C6DE7">
              <w:rPr>
                <w:bCs/>
                <w:sz w:val="20"/>
                <w:szCs w:val="20"/>
              </w:rPr>
              <w:t>33/2015. (VI. 16.) BM rendelet a belügyminiszter irányítása alá tartozó rendvédelmi feladatokat ellátó szervek hivatásos szolgálati viszonyban álló tagjai illetményének és egyéb juttatásainak megállapításáról, valamint</w:t>
            </w:r>
            <w:r w:rsidRPr="004C6DE7">
              <w:rPr>
                <w:rFonts w:eastAsia="Calibri"/>
                <w:bCs/>
                <w:sz w:val="20"/>
                <w:szCs w:val="20"/>
              </w:rPr>
              <w:t xml:space="preserve"> </w:t>
            </w:r>
            <w:r w:rsidRPr="004C6DE7">
              <w:rPr>
                <w:bCs/>
                <w:sz w:val="20"/>
                <w:szCs w:val="20"/>
              </w:rPr>
              <w:t xml:space="preserve">a folyósítás szabályairól; </w:t>
            </w:r>
            <w:r w:rsidRPr="004C6DE7">
              <w:rPr>
                <w:sz w:val="20"/>
                <w:szCs w:val="20"/>
              </w:rPr>
              <w:t>a munka törvénykönyvéről szóló 2012. évi I. törvény, Korm. rendelet 16. §</w:t>
            </w:r>
            <w:proofErr w:type="spellStart"/>
            <w:r w:rsidRPr="004C6DE7">
              <w:rPr>
                <w:sz w:val="20"/>
                <w:szCs w:val="20"/>
              </w:rPr>
              <w:t>-</w:t>
            </w:r>
            <w:proofErr w:type="gramStart"/>
            <w:r w:rsidRPr="004C6DE7">
              <w:rPr>
                <w:sz w:val="20"/>
                <w:szCs w:val="20"/>
              </w:rPr>
              <w:t>a</w:t>
            </w:r>
            <w:proofErr w:type="spellEnd"/>
            <w:proofErr w:type="gramEnd"/>
            <w:r>
              <w:rPr>
                <w:sz w:val="20"/>
                <w:szCs w:val="20"/>
              </w:rPr>
              <w:t xml:space="preserve">, </w:t>
            </w:r>
            <w:r w:rsidRPr="004C6DE7">
              <w:rPr>
                <w:bCs/>
                <w:sz w:val="20"/>
                <w:szCs w:val="20"/>
              </w:rPr>
              <w:t xml:space="preserve">a büntetés-végrehajtás országos parancsnokának </w:t>
            </w:r>
            <w:r>
              <w:rPr>
                <w:bCs/>
                <w:sz w:val="20"/>
                <w:szCs w:val="20"/>
              </w:rPr>
              <w:t>13/2019 (X.4.)</w:t>
            </w:r>
            <w:r w:rsidRPr="004C6DE7">
              <w:rPr>
                <w:bCs/>
                <w:sz w:val="20"/>
                <w:szCs w:val="20"/>
              </w:rPr>
              <w:t xml:space="preserve"> BVOP utasítása a büntetés-végrehajtási szervezet szolgálattervezésének és szolgálatszervezésének végrehajtásáról</w:t>
            </w:r>
            <w:r>
              <w:rPr>
                <w:bCs/>
                <w:sz w:val="20"/>
                <w:szCs w:val="20"/>
              </w:rPr>
              <w:t>.</w:t>
            </w:r>
          </w:p>
          <w:p w:rsidR="00161977" w:rsidRDefault="00161977" w:rsidP="00917040">
            <w:pPr>
              <w:outlineLvl w:val="0"/>
              <w:rPr>
                <w:rFonts w:eastAsia="Times New Roman" w:cs="Times New Roman"/>
                <w:bCs/>
                <w:spacing w:val="-5"/>
                <w:kern w:val="36"/>
                <w:sz w:val="20"/>
                <w:szCs w:val="20"/>
                <w:lang w:val="en" w:eastAsia="hu-HU"/>
              </w:rPr>
            </w:pPr>
            <w:r w:rsidRPr="001F1769">
              <w:rPr>
                <w:rFonts w:eastAsia="Times New Roman" w:cs="Times New Roman"/>
                <w:bCs/>
                <w:spacing w:val="-5"/>
                <w:kern w:val="36"/>
                <w:sz w:val="20"/>
                <w:szCs w:val="20"/>
                <w:lang w:val="en" w:eastAsia="hu-HU"/>
              </w:rPr>
              <w:t xml:space="preserve">2011. </w:t>
            </w:r>
            <w:proofErr w:type="spellStart"/>
            <w:proofErr w:type="gramStart"/>
            <w:r w:rsidRPr="001F1769">
              <w:rPr>
                <w:rFonts w:eastAsia="Times New Roman" w:cs="Times New Roman"/>
                <w:bCs/>
                <w:spacing w:val="-5"/>
                <w:kern w:val="36"/>
                <w:sz w:val="20"/>
                <w:szCs w:val="20"/>
                <w:lang w:val="en" w:eastAsia="hu-HU"/>
              </w:rPr>
              <w:t>évi</w:t>
            </w:r>
            <w:proofErr w:type="spellEnd"/>
            <w:proofErr w:type="gramEnd"/>
            <w:r w:rsidRPr="001F1769">
              <w:rPr>
                <w:rFonts w:eastAsia="Times New Roman" w:cs="Times New Roman"/>
                <w:bCs/>
                <w:spacing w:val="-5"/>
                <w:kern w:val="36"/>
                <w:sz w:val="20"/>
                <w:szCs w:val="20"/>
                <w:lang w:val="en" w:eastAsia="hu-HU"/>
              </w:rPr>
              <w:t xml:space="preserve"> CXII. </w:t>
            </w:r>
            <w:proofErr w:type="spellStart"/>
            <w:r w:rsidRPr="001F1769">
              <w:rPr>
                <w:rFonts w:eastAsia="Times New Roman" w:cs="Times New Roman"/>
                <w:bCs/>
                <w:spacing w:val="-5"/>
                <w:kern w:val="36"/>
                <w:sz w:val="20"/>
                <w:szCs w:val="20"/>
                <w:lang w:val="en" w:eastAsia="hu-HU"/>
              </w:rPr>
              <w:t>törvény</w:t>
            </w:r>
            <w:proofErr w:type="spellEnd"/>
            <w:r>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az</w:t>
            </w:r>
            <w:proofErr w:type="spellEnd"/>
            <w:r w:rsidRPr="001F1769">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információs</w:t>
            </w:r>
            <w:proofErr w:type="spellEnd"/>
            <w:r w:rsidRPr="001F1769">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önrendelkezési</w:t>
            </w:r>
            <w:proofErr w:type="spellEnd"/>
            <w:r w:rsidRPr="001F1769">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jogról</w:t>
            </w:r>
            <w:proofErr w:type="spellEnd"/>
            <w:r w:rsidRPr="001F1769">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és</w:t>
            </w:r>
            <w:proofErr w:type="spellEnd"/>
            <w:r w:rsidRPr="001F1769">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az</w:t>
            </w:r>
            <w:proofErr w:type="spellEnd"/>
            <w:r w:rsidRPr="001F1769">
              <w:rPr>
                <w:rFonts w:eastAsia="Times New Roman" w:cs="Times New Roman"/>
                <w:bCs/>
                <w:spacing w:val="-5"/>
                <w:kern w:val="36"/>
                <w:sz w:val="20"/>
                <w:szCs w:val="20"/>
                <w:lang w:val="en" w:eastAsia="hu-HU"/>
              </w:rPr>
              <w:t xml:space="preserve"> </w:t>
            </w:r>
            <w:proofErr w:type="spellStart"/>
            <w:r w:rsidRPr="001F1769">
              <w:rPr>
                <w:rFonts w:eastAsia="Times New Roman" w:cs="Times New Roman"/>
                <w:bCs/>
                <w:spacing w:val="-5"/>
                <w:kern w:val="36"/>
                <w:sz w:val="20"/>
                <w:szCs w:val="20"/>
                <w:lang w:val="en" w:eastAsia="hu-HU"/>
              </w:rPr>
              <w:t>információszabadságról</w:t>
            </w:r>
            <w:proofErr w:type="spellEnd"/>
            <w:r w:rsidRPr="001F1769">
              <w:rPr>
                <w:rFonts w:eastAsia="Times New Roman" w:cs="Times New Roman"/>
                <w:bCs/>
                <w:spacing w:val="-5"/>
                <w:kern w:val="36"/>
                <w:sz w:val="20"/>
                <w:szCs w:val="20"/>
                <w:lang w:val="en" w:eastAsia="hu-HU"/>
              </w:rPr>
              <w:fldChar w:fldCharType="begin"/>
            </w:r>
            <w:r w:rsidRPr="001F1769">
              <w:rPr>
                <w:rFonts w:eastAsia="Times New Roman" w:cs="Times New Roman"/>
                <w:bCs/>
                <w:spacing w:val="-5"/>
                <w:kern w:val="36"/>
                <w:sz w:val="20"/>
                <w:szCs w:val="20"/>
                <w:lang w:val="en" w:eastAsia="hu-HU"/>
              </w:rPr>
              <w:instrText xml:space="preserve"> HYPERLINK "https://net.jogtar.hu/jogszabaly?docid=A1100112.TV" \l "lbj0id3052" \o "" </w:instrText>
            </w:r>
            <w:r w:rsidRPr="001F1769">
              <w:rPr>
                <w:rFonts w:eastAsia="Times New Roman" w:cs="Times New Roman"/>
                <w:bCs/>
                <w:spacing w:val="-5"/>
                <w:kern w:val="36"/>
                <w:sz w:val="20"/>
                <w:szCs w:val="20"/>
                <w:lang w:val="en" w:eastAsia="hu-HU"/>
              </w:rPr>
              <w:fldChar w:fldCharType="separate"/>
            </w:r>
            <w:r w:rsidRPr="001F1769">
              <w:rPr>
                <w:rFonts w:eastAsia="Times New Roman" w:cs="Times New Roman"/>
                <w:bCs/>
                <w:spacing w:val="-5"/>
                <w:kern w:val="36"/>
                <w:sz w:val="20"/>
                <w:szCs w:val="20"/>
                <w:vertAlign w:val="superscript"/>
                <w:lang w:val="en" w:eastAsia="hu-HU"/>
              </w:rPr>
              <w:t xml:space="preserve"> </w:t>
            </w:r>
            <w:r w:rsidRPr="001F1769">
              <w:rPr>
                <w:rFonts w:eastAsia="Times New Roman" w:cs="Times New Roman"/>
                <w:bCs/>
                <w:spacing w:val="-5"/>
                <w:kern w:val="36"/>
                <w:sz w:val="20"/>
                <w:szCs w:val="20"/>
                <w:lang w:val="en" w:eastAsia="hu-HU"/>
              </w:rPr>
              <w:fldChar w:fldCharType="end"/>
            </w:r>
          </w:p>
          <w:p w:rsidR="00161977" w:rsidRPr="00B96999" w:rsidRDefault="00161977" w:rsidP="00917040">
            <w:pPr>
              <w:pStyle w:val="NormlWeb"/>
              <w:rPr>
                <w:sz w:val="20"/>
                <w:szCs w:val="20"/>
              </w:rPr>
            </w:pPr>
            <w:r w:rsidRPr="00B96999">
              <w:rPr>
                <w:bCs/>
                <w:sz w:val="20"/>
                <w:szCs w:val="20"/>
              </w:rPr>
              <w:t>A büntetés-végrehajtás országos parancsnokának</w:t>
            </w:r>
            <w:r w:rsidRPr="00B96999">
              <w:rPr>
                <w:bCs/>
                <w:sz w:val="20"/>
                <w:szCs w:val="20"/>
              </w:rPr>
              <w:br/>
            </w:r>
            <w:r>
              <w:rPr>
                <w:bCs/>
                <w:sz w:val="20"/>
                <w:szCs w:val="20"/>
              </w:rPr>
              <w:t xml:space="preserve">15./2019. (XI.8.) </w:t>
            </w:r>
            <w:proofErr w:type="gramStart"/>
            <w:r>
              <w:rPr>
                <w:bCs/>
                <w:sz w:val="20"/>
                <w:szCs w:val="20"/>
              </w:rPr>
              <w:t>BV</w:t>
            </w:r>
            <w:r w:rsidRPr="00B96999">
              <w:rPr>
                <w:bCs/>
                <w:sz w:val="20"/>
                <w:szCs w:val="20"/>
              </w:rPr>
              <w:t>OP</w:t>
            </w:r>
            <w:r>
              <w:rPr>
                <w:bCs/>
                <w:sz w:val="20"/>
                <w:szCs w:val="20"/>
              </w:rPr>
              <w:t xml:space="preserve"> </w:t>
            </w:r>
            <w:r w:rsidRPr="00B96999">
              <w:rPr>
                <w:sz w:val="20"/>
                <w:szCs w:val="20"/>
              </w:rPr>
              <w:t xml:space="preserve"> </w:t>
            </w:r>
            <w:r>
              <w:rPr>
                <w:bCs/>
                <w:iCs/>
                <w:sz w:val="20"/>
                <w:szCs w:val="20"/>
              </w:rPr>
              <w:t>utasítás</w:t>
            </w:r>
            <w:proofErr w:type="gramEnd"/>
          </w:p>
          <w:p w:rsidR="00161977" w:rsidRPr="00B96999" w:rsidRDefault="00161977" w:rsidP="00917040">
            <w:pPr>
              <w:pStyle w:val="NormlWeb"/>
              <w:rPr>
                <w:sz w:val="20"/>
                <w:szCs w:val="20"/>
              </w:rPr>
            </w:pPr>
            <w:r w:rsidRPr="00B96999">
              <w:rPr>
                <w:bCs/>
                <w:iCs/>
                <w:sz w:val="20"/>
                <w:szCs w:val="20"/>
              </w:rPr>
              <w:t>a büntetés-végrehajtási szervezet Informatikai Biztonsági Szabályzatáról</w:t>
            </w:r>
          </w:p>
          <w:p w:rsidR="00161977" w:rsidRPr="008F0216" w:rsidRDefault="00161977" w:rsidP="00917040">
            <w:pPr>
              <w:jc w:val="both"/>
              <w:rPr>
                <w:rFonts w:cs="Times New Roman"/>
                <w:sz w:val="20"/>
                <w:szCs w:val="20"/>
              </w:rPr>
            </w:pP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lastRenderedPageBreak/>
              <w:t>Az adatok fajtája</w:t>
            </w:r>
          </w:p>
        </w:tc>
        <w:tc>
          <w:tcPr>
            <w:tcW w:w="4606" w:type="dxa"/>
          </w:tcPr>
          <w:p w:rsidR="00161977" w:rsidRPr="008F0216" w:rsidRDefault="00161977" w:rsidP="00917040">
            <w:pPr>
              <w:jc w:val="both"/>
              <w:rPr>
                <w:rFonts w:cs="Times New Roman"/>
                <w:sz w:val="20"/>
                <w:szCs w:val="20"/>
              </w:rPr>
            </w:pPr>
            <w:r>
              <w:rPr>
                <w:rFonts w:cs="Times New Roman"/>
                <w:sz w:val="20"/>
                <w:szCs w:val="20"/>
              </w:rPr>
              <w:t>személyes adatok</w:t>
            </w: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érintettek köre</w:t>
            </w:r>
          </w:p>
        </w:tc>
        <w:tc>
          <w:tcPr>
            <w:tcW w:w="4606" w:type="dxa"/>
          </w:tcPr>
          <w:p w:rsidR="00161977" w:rsidRPr="008F0216" w:rsidRDefault="00161977" w:rsidP="00917040">
            <w:pPr>
              <w:jc w:val="both"/>
              <w:rPr>
                <w:rFonts w:cs="Times New Roman"/>
                <w:sz w:val="20"/>
                <w:szCs w:val="20"/>
              </w:rPr>
            </w:pPr>
            <w:r>
              <w:rPr>
                <w:rFonts w:cs="Times New Roman"/>
                <w:sz w:val="20"/>
                <w:szCs w:val="20"/>
              </w:rPr>
              <w:t xml:space="preserve">A TAJ szám, adószám, hadrendi szám, telefonszám vonatkozásában a Tököli Országos </w:t>
            </w:r>
            <w:proofErr w:type="spellStart"/>
            <w:r>
              <w:rPr>
                <w:rFonts w:cs="Times New Roman"/>
                <w:sz w:val="20"/>
                <w:szCs w:val="20"/>
              </w:rPr>
              <w:t>Bv</w:t>
            </w:r>
            <w:proofErr w:type="spellEnd"/>
            <w:r>
              <w:rPr>
                <w:rFonts w:cs="Times New Roman"/>
                <w:sz w:val="20"/>
                <w:szCs w:val="20"/>
              </w:rPr>
              <w:t xml:space="preserve">. Intézet informatikai osztályának teljes hivatásos és </w:t>
            </w:r>
            <w:proofErr w:type="gramStart"/>
            <w:r>
              <w:rPr>
                <w:rFonts w:cs="Times New Roman"/>
                <w:sz w:val="20"/>
                <w:szCs w:val="20"/>
              </w:rPr>
              <w:t>közalkalmazotti  személyi</w:t>
            </w:r>
            <w:proofErr w:type="gramEnd"/>
            <w:r>
              <w:rPr>
                <w:rFonts w:cs="Times New Roman"/>
                <w:sz w:val="20"/>
                <w:szCs w:val="20"/>
              </w:rPr>
              <w:t xml:space="preserve"> állománya, a többi adat vonatkozásában a  Tököli Országos </w:t>
            </w:r>
            <w:proofErr w:type="spellStart"/>
            <w:r>
              <w:rPr>
                <w:rFonts w:cs="Times New Roman"/>
                <w:sz w:val="20"/>
                <w:szCs w:val="20"/>
              </w:rPr>
              <w:t>Bv</w:t>
            </w:r>
            <w:proofErr w:type="spellEnd"/>
            <w:r>
              <w:rPr>
                <w:rFonts w:cs="Times New Roman"/>
                <w:sz w:val="20"/>
                <w:szCs w:val="20"/>
              </w:rPr>
              <w:t xml:space="preserve">. Intézet, a Fiatalkorúak </w:t>
            </w:r>
            <w:proofErr w:type="spellStart"/>
            <w:r>
              <w:rPr>
                <w:rFonts w:cs="Times New Roman"/>
                <w:sz w:val="20"/>
                <w:szCs w:val="20"/>
              </w:rPr>
              <w:t>Bv</w:t>
            </w:r>
            <w:proofErr w:type="spellEnd"/>
            <w:r>
              <w:rPr>
                <w:rFonts w:cs="Times New Roman"/>
                <w:sz w:val="20"/>
                <w:szCs w:val="20"/>
              </w:rPr>
              <w:t>. Intézete és a Duna Papír Kft. teljes személyi állománya.</w:t>
            </w: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adatok forrása</w:t>
            </w:r>
          </w:p>
        </w:tc>
        <w:tc>
          <w:tcPr>
            <w:tcW w:w="4606" w:type="dxa"/>
          </w:tcPr>
          <w:p w:rsidR="00161977" w:rsidRPr="008F0216" w:rsidRDefault="00161977" w:rsidP="00917040">
            <w:pPr>
              <w:jc w:val="both"/>
              <w:rPr>
                <w:rFonts w:cs="Times New Roman"/>
                <w:sz w:val="20"/>
                <w:szCs w:val="20"/>
              </w:rPr>
            </w:pPr>
            <w:r>
              <w:rPr>
                <w:rFonts w:cs="Times New Roman"/>
                <w:sz w:val="20"/>
                <w:szCs w:val="20"/>
              </w:rPr>
              <w:t>TAJ szám, valamint az adószám igazolására alkalmas hatósági igazolványok, Személyügyi Osztály által hadrendi szám közlése a személyügyi nyilvántartásból, telefonszám közlése állománytag által, informatikai nyilvántartások.</w:t>
            </w: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 továbbított adatok fajtája</w:t>
            </w:r>
          </w:p>
        </w:tc>
        <w:tc>
          <w:tcPr>
            <w:tcW w:w="4606" w:type="dxa"/>
          </w:tcPr>
          <w:p w:rsidR="00161977" w:rsidRPr="008F0216" w:rsidRDefault="00161977" w:rsidP="00917040">
            <w:pPr>
              <w:jc w:val="both"/>
              <w:rPr>
                <w:rFonts w:cs="Times New Roman"/>
                <w:sz w:val="20"/>
                <w:szCs w:val="20"/>
              </w:rPr>
            </w:pP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 továbbított adatok címzettje</w:t>
            </w:r>
          </w:p>
        </w:tc>
        <w:tc>
          <w:tcPr>
            <w:tcW w:w="4606" w:type="dxa"/>
          </w:tcPr>
          <w:p w:rsidR="00161977" w:rsidRPr="008F0216" w:rsidRDefault="00161977" w:rsidP="00917040">
            <w:pPr>
              <w:jc w:val="both"/>
              <w:rPr>
                <w:rFonts w:cs="Times New Roman"/>
                <w:sz w:val="20"/>
                <w:szCs w:val="20"/>
              </w:rPr>
            </w:pP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adattovábbítás jogalapja</w:t>
            </w:r>
          </w:p>
        </w:tc>
        <w:tc>
          <w:tcPr>
            <w:tcW w:w="4606" w:type="dxa"/>
          </w:tcPr>
          <w:p w:rsidR="00161977" w:rsidRPr="008F0216" w:rsidRDefault="00161977" w:rsidP="00917040">
            <w:pPr>
              <w:jc w:val="both"/>
              <w:rPr>
                <w:rFonts w:cs="Times New Roman"/>
                <w:sz w:val="20"/>
                <w:szCs w:val="20"/>
              </w:rPr>
            </w:pP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egyes adatfajták törlési határideje</w:t>
            </w:r>
          </w:p>
        </w:tc>
        <w:tc>
          <w:tcPr>
            <w:tcW w:w="4606" w:type="dxa"/>
          </w:tcPr>
          <w:p w:rsidR="00161977" w:rsidRPr="008F0216" w:rsidRDefault="00161977" w:rsidP="00917040">
            <w:pPr>
              <w:jc w:val="both"/>
              <w:rPr>
                <w:rFonts w:cs="Times New Roman"/>
                <w:sz w:val="20"/>
                <w:szCs w:val="20"/>
              </w:rPr>
            </w:pPr>
            <w:r>
              <w:rPr>
                <w:rFonts w:cs="Times New Roman"/>
                <w:sz w:val="20"/>
                <w:szCs w:val="20"/>
              </w:rPr>
              <w:t>állománytag leszerelésekor</w:t>
            </w:r>
          </w:p>
        </w:tc>
      </w:tr>
      <w:tr w:rsidR="00161977" w:rsidTr="00917040">
        <w:trPr>
          <w:trHeight w:val="454"/>
        </w:trPr>
        <w:tc>
          <w:tcPr>
            <w:tcW w:w="4606" w:type="dxa"/>
          </w:tcPr>
          <w:p w:rsidR="00161977" w:rsidRPr="008F0216" w:rsidRDefault="00161977" w:rsidP="000D3A13">
            <w:pPr>
              <w:rPr>
                <w:rFonts w:cs="Times New Roman"/>
                <w:sz w:val="20"/>
                <w:szCs w:val="20"/>
              </w:rPr>
            </w:pPr>
            <w:r>
              <w:rPr>
                <w:rFonts w:cs="Times New Roman"/>
                <w:sz w:val="20"/>
                <w:szCs w:val="20"/>
              </w:rPr>
              <w:t>Az adatkezelő neve és címe (székhelye)</w:t>
            </w:r>
          </w:p>
        </w:tc>
        <w:tc>
          <w:tcPr>
            <w:tcW w:w="4606" w:type="dxa"/>
          </w:tcPr>
          <w:p w:rsidR="00161977" w:rsidRPr="008F0216" w:rsidRDefault="00161977" w:rsidP="00917040">
            <w:pPr>
              <w:jc w:val="both"/>
              <w:rPr>
                <w:rFonts w:cs="Times New Roman"/>
                <w:sz w:val="20"/>
                <w:szCs w:val="20"/>
              </w:rPr>
            </w:pPr>
            <w:r>
              <w:rPr>
                <w:rFonts w:cs="Times New Roman"/>
                <w:sz w:val="20"/>
                <w:szCs w:val="20"/>
              </w:rPr>
              <w:t xml:space="preserve">Tököli Országos </w:t>
            </w:r>
            <w:proofErr w:type="spellStart"/>
            <w:r>
              <w:rPr>
                <w:rFonts w:cs="Times New Roman"/>
                <w:sz w:val="20"/>
                <w:szCs w:val="20"/>
              </w:rPr>
              <w:t>Bv</w:t>
            </w:r>
            <w:proofErr w:type="spellEnd"/>
            <w:r>
              <w:rPr>
                <w:rFonts w:cs="Times New Roman"/>
                <w:sz w:val="20"/>
                <w:szCs w:val="20"/>
              </w:rPr>
              <w:t>. Intézet</w:t>
            </w:r>
            <w:proofErr w:type="gramStart"/>
            <w:r>
              <w:rPr>
                <w:rFonts w:cs="Times New Roman"/>
                <w:sz w:val="20"/>
                <w:szCs w:val="20"/>
              </w:rPr>
              <w:t>,   2316</w:t>
            </w:r>
            <w:proofErr w:type="gramEnd"/>
            <w:r>
              <w:rPr>
                <w:rFonts w:cs="Times New Roman"/>
                <w:sz w:val="20"/>
                <w:szCs w:val="20"/>
              </w:rPr>
              <w:t xml:space="preserve"> Tököl, Ráckevei út 6.</w:t>
            </w:r>
          </w:p>
        </w:tc>
      </w:tr>
      <w:tr w:rsidR="00161977" w:rsidTr="00917040">
        <w:trPr>
          <w:trHeight w:val="567"/>
        </w:trPr>
        <w:tc>
          <w:tcPr>
            <w:tcW w:w="4606" w:type="dxa"/>
          </w:tcPr>
          <w:p w:rsidR="00161977" w:rsidRDefault="00161977" w:rsidP="000D3A13">
            <w:pPr>
              <w:rPr>
                <w:rFonts w:cs="Times New Roman"/>
                <w:sz w:val="20"/>
                <w:szCs w:val="20"/>
              </w:rPr>
            </w:pPr>
            <w:r>
              <w:rPr>
                <w:rFonts w:cs="Times New Roman"/>
                <w:sz w:val="20"/>
                <w:szCs w:val="20"/>
              </w:rPr>
              <w:t>A tényleges adatkezelés helye, illetve az adatfeldolgozás helye</w:t>
            </w:r>
          </w:p>
        </w:tc>
        <w:tc>
          <w:tcPr>
            <w:tcW w:w="4606" w:type="dxa"/>
          </w:tcPr>
          <w:p w:rsidR="00161977" w:rsidRPr="008F0216" w:rsidRDefault="00161977" w:rsidP="00917040">
            <w:pPr>
              <w:jc w:val="both"/>
              <w:rPr>
                <w:rFonts w:cs="Times New Roman"/>
                <w:sz w:val="20"/>
                <w:szCs w:val="20"/>
              </w:rPr>
            </w:pPr>
            <w:r>
              <w:rPr>
                <w:rFonts w:cs="Times New Roman"/>
                <w:sz w:val="20"/>
                <w:szCs w:val="20"/>
              </w:rPr>
              <w:t>Informatikai Osztály</w:t>
            </w:r>
          </w:p>
        </w:tc>
      </w:tr>
      <w:tr w:rsidR="000D3A13" w:rsidTr="000D3A13">
        <w:trPr>
          <w:trHeight w:val="567"/>
        </w:trPr>
        <w:tc>
          <w:tcPr>
            <w:tcW w:w="4606" w:type="dxa"/>
          </w:tcPr>
          <w:p w:rsidR="000D3A13" w:rsidRDefault="000D3A13" w:rsidP="00400CB3">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r>
              <w:rPr>
                <w:rStyle w:val="Lbjegyzet-hivatkozs"/>
                <w:rFonts w:cs="Times New Roman"/>
                <w:sz w:val="20"/>
                <w:szCs w:val="20"/>
              </w:rPr>
              <w:footnoteReference w:id="1"/>
            </w:r>
          </w:p>
        </w:tc>
        <w:tc>
          <w:tcPr>
            <w:tcW w:w="4606" w:type="dxa"/>
          </w:tcPr>
          <w:p w:rsidR="000D3A13" w:rsidRPr="008F0216" w:rsidRDefault="000D3A13" w:rsidP="00400CB3">
            <w:pPr>
              <w:jc w:val="both"/>
              <w:rPr>
                <w:rFonts w:cs="Times New Roman"/>
                <w:sz w:val="20"/>
                <w:szCs w:val="20"/>
              </w:rPr>
            </w:pPr>
            <w:r>
              <w:rPr>
                <w:rFonts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161977" w:rsidRDefault="00161977" w:rsidP="00161977">
      <w:pPr>
        <w:spacing w:after="0" w:line="240" w:lineRule="auto"/>
        <w:jc w:val="both"/>
        <w:rPr>
          <w:rFonts w:cs="Times New Roman"/>
          <w:szCs w:val="24"/>
        </w:rPr>
      </w:pPr>
    </w:p>
    <w:p w:rsidR="00241F87" w:rsidRDefault="00241F87" w:rsidP="00241F87">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241F87" w:rsidRDefault="00241F87" w:rsidP="00241F87">
      <w:pPr>
        <w:spacing w:after="0" w:line="240" w:lineRule="auto"/>
        <w:jc w:val="both"/>
        <w:rPr>
          <w:rFonts w:cs="Times New Roman"/>
          <w:sz w:val="20"/>
          <w:szCs w:val="24"/>
        </w:rPr>
      </w:pPr>
    </w:p>
    <w:p w:rsidR="00241F87" w:rsidRDefault="00241F87" w:rsidP="00241F87">
      <w:pPr>
        <w:spacing w:after="0" w:line="240" w:lineRule="auto"/>
        <w:jc w:val="both"/>
        <w:rPr>
          <w:rFonts w:cs="Times New Roman"/>
          <w:sz w:val="20"/>
          <w:szCs w:val="20"/>
        </w:rPr>
      </w:pPr>
      <w:r>
        <w:rPr>
          <w:rFonts w:cs="Times New Roman"/>
          <w:sz w:val="20"/>
          <w:szCs w:val="20"/>
        </w:rPr>
        <w:t>Az adatkezeléssel kapcsolatos jogok és jogorvoslati lehetőségek</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 címzettjeiről, illetve a címzettek kategóriáiról,</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241F87" w:rsidRDefault="00241F87" w:rsidP="00241F87">
      <w:pPr>
        <w:spacing w:after="0" w:line="240" w:lineRule="auto"/>
        <w:ind w:left="360"/>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241F87" w:rsidRDefault="00241F87" w:rsidP="00241F87">
      <w:pPr>
        <w:pStyle w:val="Listaszerbekezds"/>
        <w:spacing w:after="0" w:line="240" w:lineRule="auto"/>
        <w:jc w:val="both"/>
        <w:rPr>
          <w:rFonts w:ascii="Times New Roman" w:hAnsi="Times New Roman"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241F87" w:rsidRDefault="00241F87" w:rsidP="00241F87">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241F87" w:rsidRDefault="00241F87" w:rsidP="00241F87">
      <w:pPr>
        <w:spacing w:after="0" w:line="240" w:lineRule="auto"/>
        <w:ind w:left="360"/>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41F87" w:rsidRDefault="00241F87" w:rsidP="00241F87">
      <w:pPr>
        <w:spacing w:after="0" w:line="240" w:lineRule="auto"/>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w:t>
      </w:r>
      <w:r>
        <w:rPr>
          <w:rFonts w:cs="Times New Roman"/>
          <w:sz w:val="20"/>
          <w:szCs w:val="20"/>
        </w:rPr>
        <w:lastRenderedPageBreak/>
        <w:t xml:space="preserve">Hatósághoz fordulhat (székhely: 1125 Budapest, Szilágyi Erzsébet fasor 22/C., telefon: 06/1/391-1400, e-mail: </w:t>
      </w:r>
      <w:hyperlink r:id="rId9" w:history="1">
        <w:r>
          <w:rPr>
            <w:rStyle w:val="Hiperhivatkozs"/>
            <w:rFonts w:cs="Times New Roman"/>
            <w:sz w:val="20"/>
            <w:szCs w:val="20"/>
          </w:rPr>
          <w:t>ugyfelszolgalat@naih.hu</w:t>
        </w:r>
      </w:hyperlink>
      <w:r>
        <w:rPr>
          <w:rFonts w:cs="Times New Roman"/>
          <w:sz w:val="20"/>
          <w:szCs w:val="20"/>
        </w:rPr>
        <w:t>).</w:t>
      </w:r>
    </w:p>
    <w:p w:rsidR="00241F87" w:rsidRDefault="00241F87" w:rsidP="00241F87">
      <w:pPr>
        <w:spacing w:after="0" w:line="240" w:lineRule="auto"/>
        <w:ind w:left="720"/>
        <w:jc w:val="both"/>
        <w:rPr>
          <w:rFonts w:cs="Times New Roman"/>
          <w:sz w:val="20"/>
          <w:szCs w:val="20"/>
        </w:rPr>
      </w:pPr>
    </w:p>
    <w:p w:rsidR="00241F87" w:rsidRDefault="00241F87" w:rsidP="00241F87">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cs="Times New Roman"/>
            <w:sz w:val="20"/>
            <w:szCs w:val="20"/>
          </w:rPr>
          <w:t>http://birosag.hu/torvenyszekek</w:t>
        </w:r>
      </w:hyperlink>
      <w:r>
        <w:rPr>
          <w:rFonts w:cs="Times New Roman"/>
          <w:sz w:val="20"/>
          <w:szCs w:val="20"/>
        </w:rPr>
        <w:t xml:space="preserve">. </w:t>
      </w:r>
    </w:p>
    <w:p w:rsidR="00241F87" w:rsidRDefault="00241F87" w:rsidP="00241F87">
      <w:pPr>
        <w:spacing w:after="0" w:line="240" w:lineRule="auto"/>
        <w:jc w:val="both"/>
        <w:rPr>
          <w:rFonts w:cs="Times New Roman"/>
          <w:sz w:val="20"/>
          <w:szCs w:val="20"/>
        </w:rPr>
      </w:pPr>
    </w:p>
    <w:p w:rsidR="00241F87" w:rsidRDefault="00241F87" w:rsidP="00241F87">
      <w:pPr>
        <w:tabs>
          <w:tab w:val="left" w:pos="960"/>
        </w:tabs>
        <w:rPr>
          <w:rFonts w:cs="Times New Roman"/>
          <w:szCs w:val="24"/>
        </w:rPr>
      </w:pPr>
    </w:p>
    <w:p w:rsidR="00241F87" w:rsidRPr="00F97273" w:rsidRDefault="00241F87" w:rsidP="00241F87">
      <w:pPr>
        <w:tabs>
          <w:tab w:val="left" w:pos="960"/>
        </w:tabs>
        <w:rPr>
          <w:rFonts w:cs="Times New Roman"/>
          <w:szCs w:val="24"/>
        </w:rPr>
      </w:pPr>
    </w:p>
    <w:p w:rsidR="00161977" w:rsidRDefault="00161977" w:rsidP="00161977">
      <w:pPr>
        <w:spacing w:after="0" w:line="240" w:lineRule="auto"/>
        <w:jc w:val="both"/>
        <w:rPr>
          <w:rFonts w:cs="Times New Roman"/>
          <w:szCs w:val="24"/>
        </w:rPr>
      </w:pPr>
    </w:p>
    <w:p w:rsidR="00161977" w:rsidRPr="00883AD0"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r w:rsidRPr="00883AD0">
        <w:rPr>
          <w:rFonts w:cs="Times New Roman"/>
          <w:szCs w:val="24"/>
        </w:rPr>
        <w:t xml:space="preserve"> </w:t>
      </w: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Default="00161977" w:rsidP="00161977">
      <w:pPr>
        <w:spacing w:after="0" w:line="240" w:lineRule="auto"/>
        <w:rPr>
          <w:rFonts w:cs="Times New Roman"/>
          <w:szCs w:val="24"/>
        </w:rPr>
      </w:pPr>
    </w:p>
    <w:p w:rsidR="00161977" w:rsidRPr="00883AD0" w:rsidRDefault="00161977" w:rsidP="00161977">
      <w:pPr>
        <w:spacing w:after="0" w:line="240" w:lineRule="auto"/>
        <w:rPr>
          <w:rFonts w:cs="Times New Roman"/>
          <w:szCs w:val="24"/>
        </w:rPr>
      </w:pPr>
    </w:p>
    <w:p w:rsidR="008C2868" w:rsidRDefault="008C2868"/>
    <w:sectPr w:rsidR="008C2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77" w:rsidRDefault="00161977" w:rsidP="00161977">
      <w:pPr>
        <w:spacing w:after="0" w:line="240" w:lineRule="auto"/>
      </w:pPr>
      <w:r>
        <w:separator/>
      </w:r>
    </w:p>
  </w:endnote>
  <w:endnote w:type="continuationSeparator" w:id="0">
    <w:p w:rsidR="00161977" w:rsidRDefault="00161977" w:rsidP="0016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77" w:rsidRDefault="00161977" w:rsidP="00161977">
      <w:pPr>
        <w:spacing w:after="0" w:line="240" w:lineRule="auto"/>
      </w:pPr>
      <w:r>
        <w:separator/>
      </w:r>
    </w:p>
  </w:footnote>
  <w:footnote w:type="continuationSeparator" w:id="0">
    <w:p w:rsidR="00161977" w:rsidRDefault="00161977" w:rsidP="00161977">
      <w:pPr>
        <w:spacing w:after="0" w:line="240" w:lineRule="auto"/>
      </w:pPr>
      <w:r>
        <w:continuationSeparator/>
      </w:r>
    </w:p>
  </w:footnote>
  <w:footnote w:id="1">
    <w:p w:rsidR="000D3A13" w:rsidRPr="00270603" w:rsidRDefault="000D3A13" w:rsidP="000D3A13">
      <w:pPr>
        <w:pStyle w:val="Lbjegyzetszveg"/>
        <w:rPr>
          <w:rFonts w:ascii="Times New Roman" w:hAnsi="Times New Roman" w:cs="Times New Roman"/>
        </w:rPr>
      </w:pPr>
      <w:r>
        <w:rPr>
          <w:rStyle w:val="Lbjegyzet-hivatkozs"/>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77"/>
    <w:rsid w:val="000D3A13"/>
    <w:rsid w:val="00161977"/>
    <w:rsid w:val="00241F87"/>
    <w:rsid w:val="0089106D"/>
    <w:rsid w:val="008C28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97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16197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61977"/>
    <w:rPr>
      <w:sz w:val="20"/>
      <w:szCs w:val="20"/>
    </w:rPr>
  </w:style>
  <w:style w:type="character" w:styleId="Lbjegyzet-hivatkozs">
    <w:name w:val="footnote reference"/>
    <w:basedOn w:val="Bekezdsalapbettpusa"/>
    <w:uiPriority w:val="99"/>
    <w:unhideWhenUsed/>
    <w:rsid w:val="00161977"/>
    <w:rPr>
      <w:vertAlign w:val="superscript"/>
    </w:rPr>
  </w:style>
  <w:style w:type="paragraph" w:styleId="NormlWeb">
    <w:name w:val="Normal (Web)"/>
    <w:basedOn w:val="Norml"/>
    <w:uiPriority w:val="99"/>
    <w:semiHidden/>
    <w:unhideWhenUsed/>
    <w:rsid w:val="00161977"/>
    <w:pPr>
      <w:spacing w:after="0" w:line="240" w:lineRule="auto"/>
    </w:pPr>
    <w:rPr>
      <w:rFonts w:eastAsia="Times New Roman" w:cs="Times New Roman"/>
      <w:szCs w:val="24"/>
      <w:lang w:eastAsia="hu-HU"/>
    </w:rPr>
  </w:style>
  <w:style w:type="paragraph" w:styleId="lfej">
    <w:name w:val="header"/>
    <w:basedOn w:val="Norml"/>
    <w:link w:val="lfejChar"/>
    <w:uiPriority w:val="99"/>
    <w:unhideWhenUsed/>
    <w:rsid w:val="00161977"/>
    <w:pPr>
      <w:tabs>
        <w:tab w:val="center" w:pos="4536"/>
        <w:tab w:val="right" w:pos="9072"/>
      </w:tabs>
      <w:spacing w:after="0" w:line="240" w:lineRule="auto"/>
    </w:pPr>
  </w:style>
  <w:style w:type="character" w:customStyle="1" w:styleId="lfejChar">
    <w:name w:val="Élőfej Char"/>
    <w:basedOn w:val="Bekezdsalapbettpusa"/>
    <w:link w:val="lfej"/>
    <w:uiPriority w:val="99"/>
    <w:rsid w:val="00161977"/>
    <w:rPr>
      <w:rFonts w:ascii="Times New Roman" w:hAnsi="Times New Roman"/>
      <w:sz w:val="24"/>
    </w:rPr>
  </w:style>
  <w:style w:type="paragraph" w:styleId="Buborkszveg">
    <w:name w:val="Balloon Text"/>
    <w:basedOn w:val="Norml"/>
    <w:link w:val="BuborkszvegChar"/>
    <w:uiPriority w:val="99"/>
    <w:semiHidden/>
    <w:unhideWhenUsed/>
    <w:rsid w:val="00161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1977"/>
    <w:rPr>
      <w:rFonts w:ascii="Tahoma" w:hAnsi="Tahoma" w:cs="Tahoma"/>
      <w:sz w:val="16"/>
      <w:szCs w:val="16"/>
    </w:rPr>
  </w:style>
  <w:style w:type="character" w:styleId="Hiperhivatkozs">
    <w:name w:val="Hyperlink"/>
    <w:uiPriority w:val="99"/>
    <w:unhideWhenUsed/>
    <w:rsid w:val="00241F87"/>
    <w:rPr>
      <w:color w:val="0000FF"/>
      <w:u w:val="single"/>
    </w:rPr>
  </w:style>
  <w:style w:type="paragraph" w:styleId="Listaszerbekezds">
    <w:name w:val="List Paragraph"/>
    <w:basedOn w:val="Norml"/>
    <w:uiPriority w:val="34"/>
    <w:qFormat/>
    <w:rsid w:val="00241F87"/>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97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16197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61977"/>
    <w:rPr>
      <w:sz w:val="20"/>
      <w:szCs w:val="20"/>
    </w:rPr>
  </w:style>
  <w:style w:type="character" w:styleId="Lbjegyzet-hivatkozs">
    <w:name w:val="footnote reference"/>
    <w:basedOn w:val="Bekezdsalapbettpusa"/>
    <w:uiPriority w:val="99"/>
    <w:unhideWhenUsed/>
    <w:rsid w:val="00161977"/>
    <w:rPr>
      <w:vertAlign w:val="superscript"/>
    </w:rPr>
  </w:style>
  <w:style w:type="paragraph" w:styleId="NormlWeb">
    <w:name w:val="Normal (Web)"/>
    <w:basedOn w:val="Norml"/>
    <w:uiPriority w:val="99"/>
    <w:semiHidden/>
    <w:unhideWhenUsed/>
    <w:rsid w:val="00161977"/>
    <w:pPr>
      <w:spacing w:after="0" w:line="240" w:lineRule="auto"/>
    </w:pPr>
    <w:rPr>
      <w:rFonts w:eastAsia="Times New Roman" w:cs="Times New Roman"/>
      <w:szCs w:val="24"/>
      <w:lang w:eastAsia="hu-HU"/>
    </w:rPr>
  </w:style>
  <w:style w:type="paragraph" w:styleId="lfej">
    <w:name w:val="header"/>
    <w:basedOn w:val="Norml"/>
    <w:link w:val="lfejChar"/>
    <w:uiPriority w:val="99"/>
    <w:unhideWhenUsed/>
    <w:rsid w:val="00161977"/>
    <w:pPr>
      <w:tabs>
        <w:tab w:val="center" w:pos="4536"/>
        <w:tab w:val="right" w:pos="9072"/>
      </w:tabs>
      <w:spacing w:after="0" w:line="240" w:lineRule="auto"/>
    </w:pPr>
  </w:style>
  <w:style w:type="character" w:customStyle="1" w:styleId="lfejChar">
    <w:name w:val="Élőfej Char"/>
    <w:basedOn w:val="Bekezdsalapbettpusa"/>
    <w:link w:val="lfej"/>
    <w:uiPriority w:val="99"/>
    <w:rsid w:val="00161977"/>
    <w:rPr>
      <w:rFonts w:ascii="Times New Roman" w:hAnsi="Times New Roman"/>
      <w:sz w:val="24"/>
    </w:rPr>
  </w:style>
  <w:style w:type="paragraph" w:styleId="Buborkszveg">
    <w:name w:val="Balloon Text"/>
    <w:basedOn w:val="Norml"/>
    <w:link w:val="BuborkszvegChar"/>
    <w:uiPriority w:val="99"/>
    <w:semiHidden/>
    <w:unhideWhenUsed/>
    <w:rsid w:val="00161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1977"/>
    <w:rPr>
      <w:rFonts w:ascii="Tahoma" w:hAnsi="Tahoma" w:cs="Tahoma"/>
      <w:sz w:val="16"/>
      <w:szCs w:val="16"/>
    </w:rPr>
  </w:style>
  <w:style w:type="character" w:styleId="Hiperhivatkozs">
    <w:name w:val="Hyperlink"/>
    <w:uiPriority w:val="99"/>
    <w:unhideWhenUsed/>
    <w:rsid w:val="00241F87"/>
    <w:rPr>
      <w:color w:val="0000FF"/>
      <w:u w:val="single"/>
    </w:rPr>
  </w:style>
  <w:style w:type="paragraph" w:styleId="Listaszerbekezds">
    <w:name w:val="List Paragraph"/>
    <w:basedOn w:val="Norml"/>
    <w:uiPriority w:val="34"/>
    <w:qFormat/>
    <w:rsid w:val="00241F87"/>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8897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2020-03-25T12:28:00Z</dcterms:created>
  <dcterms:modified xsi:type="dcterms:W3CDTF">2020-04-01T09:41:00Z</dcterms:modified>
</cp:coreProperties>
</file>