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F46398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30549-13/22-12/2021.ányt</w:t>
            </w:r>
            <w:bookmarkStart w:id="0" w:name="_GoBack"/>
            <w:bookmarkEnd w:id="0"/>
          </w:p>
        </w:tc>
      </w:tr>
      <w:tr w:rsidR="008C1D36" w:rsidRPr="00B64490" w:rsidTr="00B111F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1D36" w:rsidRDefault="008C1D36" w:rsidP="00DA1497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Illetményszámfejtés</w:t>
            </w:r>
          </w:p>
        </w:tc>
      </w:tr>
      <w:tr w:rsidR="008C1D36" w:rsidRPr="00B64490" w:rsidTr="00B111F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1D36" w:rsidRDefault="008C1D36" w:rsidP="00DA1497">
            <w:pPr>
              <w:pStyle w:val="Egyb0"/>
              <w:tabs>
                <w:tab w:val="left" w:pos="1512"/>
                <w:tab w:val="right" w:pos="43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rendvédelmi feladatokat ellátó szervek hivatásos</w:t>
            </w:r>
            <w:r>
              <w:rPr>
                <w:sz w:val="24"/>
                <w:szCs w:val="24"/>
              </w:rPr>
              <w:tab/>
              <w:t>állományának</w:t>
            </w:r>
            <w:r>
              <w:rPr>
                <w:sz w:val="24"/>
                <w:szCs w:val="24"/>
              </w:rPr>
              <w:tab/>
              <w:t>szolgálati</w:t>
            </w:r>
          </w:p>
          <w:p w:rsidR="008C1D36" w:rsidRDefault="008C1D36" w:rsidP="00DA1497">
            <w:pPr>
              <w:pStyle w:val="Egyb0"/>
              <w:tabs>
                <w:tab w:val="left" w:pos="1118"/>
                <w:tab w:val="right" w:pos="439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jogviszonyáról szóló 2015. évi XLII. törvény (Hszt.) Egyéb adó jogszabályok vonatkozó adatok</w:t>
            </w:r>
            <w:r>
              <w:rPr>
                <w:sz w:val="24"/>
                <w:szCs w:val="24"/>
              </w:rPr>
              <w:tab/>
              <w:t>(beosztás,</w:t>
            </w:r>
            <w:r>
              <w:rPr>
                <w:sz w:val="24"/>
                <w:szCs w:val="24"/>
              </w:rPr>
              <w:tab/>
              <w:t>beosztásváltozások,</w:t>
            </w:r>
          </w:p>
          <w:p w:rsidR="008C1D36" w:rsidRDefault="008C1D36" w:rsidP="00DA1497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illetmény, pótlékok, rendfokozat, dicséretek, jutalmak, kitüntetések, stb.)</w:t>
            </w:r>
          </w:p>
        </w:tc>
      </w:tr>
      <w:tr w:rsidR="008C1D36" w:rsidRPr="00B64490" w:rsidTr="00B111F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1D36" w:rsidRDefault="008C1D36" w:rsidP="00DA149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 évi XLII. törvény 178 §</w:t>
            </w:r>
          </w:p>
        </w:tc>
      </w:tr>
      <w:tr w:rsidR="008C1D36" w:rsidRPr="00B64490" w:rsidTr="00B111F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1D36" w:rsidRDefault="008C1D36" w:rsidP="00DA1497">
            <w:pPr>
              <w:pStyle w:val="Egyb0"/>
              <w:tabs>
                <w:tab w:val="left" w:pos="1131"/>
                <w:tab w:val="left" w:pos="2394"/>
                <w:tab w:val="left" w:pos="3560"/>
              </w:tabs>
              <w:spacing w:after="0" w:line="276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Neve, születési helye, ideje, édesanyja neve, azonosító számai (TAJ, Adó, személyi igazolvány, személyi szám, stb.),</w:t>
            </w:r>
            <w:r>
              <w:rPr>
                <w:sz w:val="24"/>
                <w:szCs w:val="24"/>
              </w:rPr>
              <w:tab/>
              <w:t>Lakcím,</w:t>
            </w:r>
            <w:r>
              <w:rPr>
                <w:sz w:val="24"/>
                <w:szCs w:val="24"/>
              </w:rPr>
              <w:tab/>
              <w:t>Családi</w:t>
            </w:r>
            <w:r>
              <w:rPr>
                <w:sz w:val="24"/>
                <w:szCs w:val="24"/>
              </w:rPr>
              <w:tab/>
              <w:t>állapot,</w:t>
            </w:r>
          </w:p>
          <w:p w:rsidR="008C1D36" w:rsidRDefault="008C1D36" w:rsidP="00DA1497">
            <w:pPr>
              <w:pStyle w:val="Egyb0"/>
              <w:tabs>
                <w:tab w:val="left" w:pos="1674"/>
                <w:tab w:val="left" w:pos="2667"/>
                <w:tab w:val="left" w:pos="3680"/>
              </w:tabs>
              <w:spacing w:after="0" w:line="276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Gyermekek</w:t>
            </w:r>
            <w:r>
              <w:rPr>
                <w:sz w:val="24"/>
                <w:szCs w:val="24"/>
              </w:rPr>
              <w:tab/>
              <w:t>adatai,</w:t>
            </w:r>
            <w:r>
              <w:rPr>
                <w:sz w:val="24"/>
                <w:szCs w:val="24"/>
              </w:rPr>
              <w:tab/>
              <w:t>szülők</w:t>
            </w:r>
            <w:r>
              <w:rPr>
                <w:sz w:val="24"/>
                <w:szCs w:val="24"/>
              </w:rPr>
              <w:tab/>
              <w:t>adatai</w:t>
            </w:r>
          </w:p>
          <w:p w:rsidR="008C1D36" w:rsidRDefault="008C1D36" w:rsidP="00DA1497">
            <w:pPr>
              <w:pStyle w:val="Egyb0"/>
              <w:tabs>
                <w:tab w:val="left" w:pos="1837"/>
                <w:tab w:val="left" w:pos="2835"/>
              </w:tabs>
              <w:spacing w:after="0" w:line="276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(születési hely, idő, lakcím, anyja neve) Iskolázottsági</w:t>
            </w:r>
            <w:r>
              <w:rPr>
                <w:sz w:val="24"/>
                <w:szCs w:val="24"/>
              </w:rPr>
              <w:tab/>
              <w:t>adatok,</w:t>
            </w:r>
            <w:r>
              <w:rPr>
                <w:sz w:val="24"/>
                <w:szCs w:val="24"/>
              </w:rPr>
              <w:tab/>
              <w:t>nyelvismeret,</w:t>
            </w:r>
          </w:p>
          <w:p w:rsidR="008C1D36" w:rsidRDefault="008C1D36" w:rsidP="00DA1497">
            <w:pPr>
              <w:pStyle w:val="Egyb0"/>
              <w:spacing w:after="0" w:line="276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képzettségre vonatkozó adatok korábbi munkáltatók megnevezése, szolgálati időre vonatkozó adatok.</w:t>
            </w:r>
          </w:p>
          <w:p w:rsidR="008C1D36" w:rsidRDefault="008C1D36" w:rsidP="00DA1497">
            <w:pPr>
              <w:pStyle w:val="Egyb0"/>
              <w:tabs>
                <w:tab w:val="left" w:pos="2213"/>
                <w:tab w:val="left" w:pos="3499"/>
              </w:tabs>
              <w:spacing w:after="0"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Munkaviszonyra vonatkozó adatok (beosztás, beosztásváltozások,</w:t>
            </w:r>
            <w:r>
              <w:rPr>
                <w:sz w:val="24"/>
                <w:szCs w:val="24"/>
              </w:rPr>
              <w:tab/>
              <w:t>illetmény,</w:t>
            </w:r>
            <w:r>
              <w:rPr>
                <w:sz w:val="24"/>
                <w:szCs w:val="24"/>
              </w:rPr>
              <w:tab/>
              <w:t>pótlékok,</w:t>
            </w:r>
          </w:p>
          <w:p w:rsidR="008C1D36" w:rsidRDefault="008C1D36" w:rsidP="00DA1497">
            <w:pPr>
              <w:pStyle w:val="Egyb0"/>
              <w:tabs>
                <w:tab w:val="left" w:pos="1838"/>
                <w:tab w:val="left" w:pos="3470"/>
              </w:tabs>
              <w:spacing w:after="0"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rendfokozat,</w:t>
            </w:r>
            <w:r>
              <w:rPr>
                <w:sz w:val="24"/>
                <w:szCs w:val="24"/>
              </w:rPr>
              <w:tab/>
              <w:t>dicséretek,</w:t>
            </w:r>
            <w:r>
              <w:rPr>
                <w:sz w:val="24"/>
                <w:szCs w:val="24"/>
              </w:rPr>
              <w:tab/>
              <w:t>jutalmak,</w:t>
            </w:r>
          </w:p>
          <w:p w:rsidR="008C1D36" w:rsidRDefault="008C1D36" w:rsidP="00DA1497">
            <w:pPr>
              <w:pStyle w:val="Egyb0"/>
              <w:spacing w:after="0"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kitüntetések, stb.)</w:t>
            </w:r>
          </w:p>
        </w:tc>
      </w:tr>
      <w:tr w:rsidR="008C1D36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D36" w:rsidRDefault="008C1D36" w:rsidP="00DA1497">
            <w:pPr>
              <w:pStyle w:val="Egyb0"/>
              <w:tabs>
                <w:tab w:val="left" w:pos="1570"/>
                <w:tab w:val="left" w:pos="195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szakutasítás hatálya a Büntetés-végrehajtás Országos Parancsnoksága (a továbbiakban: BVOP), a büntetés-végrehajtási intézetek és intézmények,</w:t>
            </w:r>
            <w:r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ab/>
              <w:t>fogvatartottak kötelező</w:t>
            </w:r>
          </w:p>
          <w:p w:rsidR="008C1D36" w:rsidRDefault="008C1D36" w:rsidP="00DA1497">
            <w:pPr>
              <w:pStyle w:val="Egyb0"/>
              <w:tabs>
                <w:tab w:val="left" w:pos="1944"/>
                <w:tab w:val="right" w:pos="43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foglalkoztatására</w:t>
            </w:r>
            <w:r>
              <w:rPr>
                <w:sz w:val="24"/>
                <w:szCs w:val="24"/>
              </w:rPr>
              <w:tab/>
              <w:t>létrehozott</w:t>
            </w:r>
            <w:r>
              <w:rPr>
                <w:sz w:val="24"/>
                <w:szCs w:val="24"/>
              </w:rPr>
              <w:tab/>
              <w:t>gazdálkodó</w:t>
            </w:r>
          </w:p>
          <w:p w:rsidR="008C1D36" w:rsidRDefault="008C1D36" w:rsidP="00DA1497">
            <w:pPr>
              <w:pStyle w:val="Egyb0"/>
              <w:tabs>
                <w:tab w:val="left" w:pos="1301"/>
                <w:tab w:val="right" w:pos="43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szervezetek (a továbbiakban: bv. szervek) állományában szolgálatot teljesítő hivatásos szolgálati</w:t>
            </w:r>
            <w:r>
              <w:rPr>
                <w:sz w:val="24"/>
                <w:szCs w:val="24"/>
              </w:rPr>
              <w:tab/>
              <w:t>jogviszonyban,</w:t>
            </w:r>
            <w:r>
              <w:rPr>
                <w:sz w:val="24"/>
                <w:szCs w:val="24"/>
              </w:rPr>
              <w:tab/>
              <w:t>rendvédelmi</w:t>
            </w:r>
          </w:p>
          <w:p w:rsidR="008C1D36" w:rsidRDefault="008C1D36" w:rsidP="00DA1497">
            <w:pPr>
              <w:pStyle w:val="Egyb0"/>
              <w:tabs>
                <w:tab w:val="left" w:pos="1882"/>
                <w:tab w:val="left" w:pos="403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alkalmazotti</w:t>
            </w:r>
            <w:r>
              <w:rPr>
                <w:sz w:val="24"/>
                <w:szCs w:val="24"/>
              </w:rPr>
              <w:tab/>
              <w:t>jogviszonyban</w:t>
            </w:r>
            <w:r>
              <w:rPr>
                <w:sz w:val="24"/>
                <w:szCs w:val="24"/>
              </w:rPr>
              <w:tab/>
              <w:t>álló</w:t>
            </w:r>
          </w:p>
          <w:p w:rsidR="008C1D36" w:rsidRDefault="008C1D36" w:rsidP="00DA1497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állománytagokra, valamint munkavállalókra (a továbbiakban: személyi állomány) terjed ki.</w:t>
            </w:r>
          </w:p>
        </w:tc>
      </w:tr>
      <w:tr w:rsidR="008C1D36" w:rsidRPr="00B64490" w:rsidTr="00B111F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1D36" w:rsidRDefault="008C1D36" w:rsidP="00DA149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Parancsok, Kinevezések, MÁK, Okiratok</w:t>
            </w:r>
          </w:p>
        </w:tc>
      </w:tr>
      <w:tr w:rsidR="008C1D36" w:rsidRPr="00B64490" w:rsidTr="00B111F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D36" w:rsidRDefault="008C1D36" w:rsidP="00DA149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1D36" w:rsidRPr="00B64490" w:rsidTr="00B111F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D36" w:rsidRDefault="008C1D36" w:rsidP="00DA149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BVOP</w:t>
            </w:r>
          </w:p>
        </w:tc>
      </w:tr>
      <w:tr w:rsidR="008C1D36" w:rsidRPr="00B64490" w:rsidTr="00B111F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1D36" w:rsidRDefault="008C1D36" w:rsidP="00DA149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 évi XLII. törvény 178 §</w:t>
            </w:r>
          </w:p>
        </w:tc>
      </w:tr>
      <w:tr w:rsidR="008C1D36" w:rsidRPr="00B64490" w:rsidTr="00B111F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D36" w:rsidRDefault="008C1D36" w:rsidP="00DA149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1D36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D36" w:rsidRPr="00B64490" w:rsidRDefault="008C1D36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</w:rPr>
              <w:t>Illetményszámfejtést végző szervek és</w:t>
            </w:r>
          </w:p>
        </w:tc>
      </w:tr>
      <w:tr w:rsidR="008C1D36" w:rsidRPr="00B64490" w:rsidTr="00F709AE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1D36" w:rsidRDefault="008C1D36" w:rsidP="00DA1497">
            <w:pPr>
              <w:pStyle w:val="Egyb0"/>
              <w:spacing w:after="0"/>
              <w:ind w:left="200"/>
              <w:rPr>
                <w:sz w:val="24"/>
                <w:szCs w:val="24"/>
              </w:rPr>
            </w:pPr>
            <w:r>
              <w:t xml:space="preserve">Büntetés-végrehajtás Egészségügyi Központ 4100 Berettyóújfalu Herpály u 7.Oláhné Vékony Szilvia. bv. őrgy., 54/795-620, </w:t>
            </w:r>
            <w:r>
              <w:rPr>
                <w:color w:val="0000FF"/>
                <w:u w:val="single"/>
                <w:lang w:val="en-US" w:bidi="en-US"/>
              </w:rPr>
              <w:t>olahne.v.szilvia@bv.gov.hu</w:t>
            </w:r>
          </w:p>
        </w:tc>
      </w:tr>
      <w:tr w:rsidR="008C1D36" w:rsidRPr="00B64490" w:rsidTr="00F709AE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D36" w:rsidRDefault="008C1D36" w:rsidP="00DA149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1D36" w:rsidRPr="00B64490" w:rsidTr="00F709AE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D36" w:rsidRPr="00B64490" w:rsidRDefault="008C1D36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D36" w:rsidRDefault="008C1D36" w:rsidP="00DA1497">
            <w:pPr>
              <w:pStyle w:val="Egyb0"/>
              <w:tabs>
                <w:tab w:val="left" w:pos="806"/>
                <w:tab w:val="left" w:pos="3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>szervezet</w:t>
            </w:r>
          </w:p>
          <w:p w:rsidR="008C1D36" w:rsidRDefault="008C1D36" w:rsidP="00DA1497">
            <w:pPr>
              <w:pStyle w:val="Egyb0"/>
              <w:tabs>
                <w:tab w:val="left" w:pos="1987"/>
                <w:tab w:val="left" w:pos="293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8C1D36" w:rsidRDefault="008C1D36" w:rsidP="00DA1497">
            <w:pPr>
              <w:pStyle w:val="Egyb0"/>
              <w:tabs>
                <w:tab w:val="center" w:pos="2390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Egységes</w:t>
            </w:r>
            <w:r>
              <w:rPr>
                <w:sz w:val="24"/>
                <w:szCs w:val="24"/>
              </w:rPr>
              <w:tab/>
              <w:t>Iratkezelési</w:t>
            </w:r>
          </w:p>
          <w:p w:rsidR="008C1D36" w:rsidRDefault="008C1D36" w:rsidP="00DA1497">
            <w:pPr>
              <w:pStyle w:val="Egyb0"/>
              <w:tabs>
                <w:tab w:val="center" w:pos="2352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Informatikai</w:t>
            </w:r>
          </w:p>
          <w:p w:rsidR="008C1D36" w:rsidRDefault="008C1D36" w:rsidP="00DA1497">
            <w:pPr>
              <w:pStyle w:val="Egyb0"/>
              <w:tabs>
                <w:tab w:val="center" w:pos="2400"/>
                <w:tab w:val="right" w:pos="43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Biztonsági</w:t>
            </w:r>
            <w:r>
              <w:rPr>
                <w:sz w:val="24"/>
                <w:szCs w:val="24"/>
              </w:rPr>
              <w:tab/>
              <w:t>Szabályzatában</w:t>
            </w:r>
            <w:r>
              <w:rPr>
                <w:sz w:val="24"/>
                <w:szCs w:val="24"/>
              </w:rPr>
              <w:tab/>
              <w:t>foglalt</w:t>
            </w:r>
          </w:p>
          <w:p w:rsidR="008C1D36" w:rsidRDefault="008C1D36" w:rsidP="00DA149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C1D36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4639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8C1D36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8C1D36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8C1D36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8C1D36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8DCB0AF</Template>
  <TotalTime>0</TotalTime>
  <Pages>2</Pages>
  <Words>580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3</cp:revision>
  <cp:lastPrinted>2020-10-07T07:27:00Z</cp:lastPrinted>
  <dcterms:created xsi:type="dcterms:W3CDTF">2021-11-05T10:06:00Z</dcterms:created>
  <dcterms:modified xsi:type="dcterms:W3CDTF">2021-12-09T14:01:00Z</dcterms:modified>
</cp:coreProperties>
</file>