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300989" w:rsidTr="00300989">
        <w:trPr>
          <w:trHeight w:val="454"/>
        </w:trPr>
        <w:tc>
          <w:tcPr>
            <w:tcW w:w="4606" w:type="dxa"/>
            <w:hideMark/>
          </w:tcPr>
          <w:p w:rsidR="00300989" w:rsidRDefault="00300989">
            <w:pPr>
              <w:rPr>
                <w:rFonts w:ascii="Times New Roman" w:hAnsi="Times New Roman" w:cs="Times New Roman"/>
                <w:sz w:val="20"/>
                <w:szCs w:val="20"/>
              </w:rPr>
            </w:pPr>
            <w:r>
              <w:rPr>
                <w:rFonts w:ascii="Times New Roman" w:hAnsi="Times New Roman" w:cs="Times New Roman"/>
                <w:sz w:val="20"/>
                <w:szCs w:val="20"/>
              </w:rPr>
              <w:t xml:space="preserve">Nyilvántartási szám: </w:t>
            </w:r>
          </w:p>
        </w:tc>
        <w:tc>
          <w:tcPr>
            <w:tcW w:w="4606" w:type="dxa"/>
          </w:tcPr>
          <w:p w:rsidR="00300989" w:rsidRDefault="00A761D3">
            <w:pPr>
              <w:jc w:val="both"/>
              <w:rPr>
                <w:rFonts w:ascii="Times New Roman" w:hAnsi="Times New Roman" w:cs="Times New Roman"/>
                <w:sz w:val="20"/>
                <w:szCs w:val="20"/>
              </w:rPr>
            </w:pPr>
            <w:r>
              <w:rPr>
                <w:rFonts w:ascii="Times New Roman" w:hAnsi="Times New Roman" w:cs="Times New Roman"/>
                <w:sz w:val="20"/>
                <w:szCs w:val="20"/>
              </w:rPr>
              <w:t>30513-13/16/2020.</w:t>
            </w:r>
            <w:bookmarkStart w:id="0" w:name="_GoBack"/>
            <w:bookmarkEnd w:id="0"/>
          </w:p>
        </w:tc>
      </w:tr>
      <w:tr w:rsidR="008F0216" w:rsidTr="00A515FE">
        <w:trPr>
          <w:trHeight w:val="454"/>
        </w:trPr>
        <w:tc>
          <w:tcPr>
            <w:tcW w:w="4606" w:type="dxa"/>
          </w:tcPr>
          <w:p w:rsidR="008F0216" w:rsidRPr="008F0216" w:rsidRDefault="00C319A3" w:rsidP="00B250FA">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E70920" w:rsidP="008F0216">
            <w:pPr>
              <w:jc w:val="both"/>
              <w:rPr>
                <w:rFonts w:ascii="Times New Roman" w:hAnsi="Times New Roman" w:cs="Times New Roman"/>
                <w:sz w:val="20"/>
                <w:szCs w:val="20"/>
              </w:rPr>
            </w:pPr>
            <w:proofErr w:type="spellStart"/>
            <w:r>
              <w:rPr>
                <w:rFonts w:ascii="Times New Roman" w:hAnsi="Times New Roman" w:cs="Times New Roman"/>
                <w:sz w:val="20"/>
                <w:szCs w:val="20"/>
              </w:rPr>
              <w:t>Cafetéria</w:t>
            </w:r>
            <w:proofErr w:type="spellEnd"/>
            <w:r w:rsidR="00F75432">
              <w:rPr>
                <w:rFonts w:ascii="Times New Roman" w:hAnsi="Times New Roman" w:cs="Times New Roman"/>
                <w:sz w:val="20"/>
                <w:szCs w:val="20"/>
              </w:rPr>
              <w:t xml:space="preserve"> TOBVI és FKBVI vonatkozásában</w:t>
            </w:r>
          </w:p>
        </w:tc>
      </w:tr>
      <w:tr w:rsidR="008F0216" w:rsidTr="00A515FE">
        <w:trPr>
          <w:trHeight w:val="454"/>
        </w:trPr>
        <w:tc>
          <w:tcPr>
            <w:tcW w:w="4606" w:type="dxa"/>
          </w:tcPr>
          <w:p w:rsidR="008F0216" w:rsidRPr="008F0216" w:rsidRDefault="00C319A3" w:rsidP="00B250FA">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E70920" w:rsidP="00E70920">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sidRPr="00E70920">
              <w:rPr>
                <w:rFonts w:ascii="Times New Roman" w:hAnsi="Times New Roman" w:cs="Times New Roman"/>
                <w:sz w:val="20"/>
                <w:szCs w:val="20"/>
              </w:rPr>
              <w:t>Személyi állomány béren kívüli juttatásai a személyi jövedelemadóról szóló 1995. évi CXVII. törvény alapján</w:t>
            </w:r>
          </w:p>
        </w:tc>
      </w:tr>
      <w:tr w:rsidR="008F0216" w:rsidTr="00A515FE">
        <w:trPr>
          <w:trHeight w:val="454"/>
        </w:trPr>
        <w:tc>
          <w:tcPr>
            <w:tcW w:w="4606" w:type="dxa"/>
          </w:tcPr>
          <w:p w:rsidR="008F0216" w:rsidRPr="008F0216" w:rsidRDefault="00C319A3" w:rsidP="00B250FA">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E70920" w:rsidRDefault="00E70920" w:rsidP="00E70920">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Pr>
                <w:rFonts w:ascii="Times New Roman" w:hAnsi="Times New Roman" w:cs="Times New Roman"/>
                <w:sz w:val="20"/>
                <w:szCs w:val="20"/>
              </w:rPr>
              <w:t xml:space="preserve">a </w:t>
            </w:r>
            <w:r w:rsidRPr="002D14DB">
              <w:rPr>
                <w:rFonts w:ascii="Times New Roman" w:hAnsi="Times New Roman" w:cs="Times New Roman"/>
                <w:sz w:val="20"/>
                <w:szCs w:val="20"/>
              </w:rPr>
              <w:t>személyi jövedelemadóról szóló 1995. évi CXVII. törvény 71. §</w:t>
            </w:r>
          </w:p>
          <w:p w:rsidR="00E70920" w:rsidRPr="002D14DB" w:rsidRDefault="00E70920" w:rsidP="00E70920">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sidRPr="002D14DB">
              <w:rPr>
                <w:rFonts w:ascii="Times New Roman" w:hAnsi="Times New Roman" w:cs="Times New Roman"/>
                <w:sz w:val="20"/>
                <w:szCs w:val="20"/>
              </w:rPr>
              <w:t>a rendvédelmi feladatokat ellátó</w:t>
            </w:r>
            <w:r>
              <w:rPr>
                <w:rFonts w:ascii="Times New Roman" w:hAnsi="Times New Roman" w:cs="Times New Roman"/>
                <w:sz w:val="20"/>
                <w:szCs w:val="20"/>
              </w:rPr>
              <w:t xml:space="preserve"> szervek hivatásos állományának </w:t>
            </w:r>
            <w:proofErr w:type="gramStart"/>
            <w:r w:rsidRPr="002D14DB">
              <w:rPr>
                <w:rFonts w:ascii="Times New Roman" w:hAnsi="Times New Roman" w:cs="Times New Roman"/>
                <w:sz w:val="20"/>
                <w:szCs w:val="20"/>
              </w:rPr>
              <w:t>szolgálati  jogviszonyáról</w:t>
            </w:r>
            <w:proofErr w:type="gramEnd"/>
            <w:r w:rsidRPr="002D14DB">
              <w:rPr>
                <w:rFonts w:ascii="Times New Roman" w:hAnsi="Times New Roman" w:cs="Times New Roman"/>
                <w:sz w:val="20"/>
                <w:szCs w:val="20"/>
              </w:rPr>
              <w:t xml:space="preserve">  szóló  2015.  évi  XLII.  törvény  17</w:t>
            </w:r>
            <w:r>
              <w:rPr>
                <w:rFonts w:ascii="Times New Roman" w:hAnsi="Times New Roman" w:cs="Times New Roman"/>
                <w:sz w:val="20"/>
                <w:szCs w:val="20"/>
              </w:rPr>
              <w:t>6.  §  (1)  és  (6)  bekezdése</w:t>
            </w:r>
          </w:p>
          <w:p w:rsidR="00E70920" w:rsidRPr="00B86247" w:rsidRDefault="00E70920" w:rsidP="00E70920">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sidRPr="00B86247">
              <w:rPr>
                <w:rFonts w:ascii="Times New Roman" w:hAnsi="Times New Roman" w:cs="Times New Roman"/>
                <w:sz w:val="20"/>
                <w:szCs w:val="20"/>
              </w:rPr>
              <w:t>a belügyminiszter irányítása alatt álló rendvédelmi feladatokat ellátó szervek hivatásos áll</w:t>
            </w:r>
            <w:r>
              <w:rPr>
                <w:rFonts w:ascii="Times New Roman" w:hAnsi="Times New Roman" w:cs="Times New Roman"/>
                <w:sz w:val="20"/>
                <w:szCs w:val="20"/>
              </w:rPr>
              <w:t xml:space="preserve">ományának 2020. évi választható </w:t>
            </w:r>
            <w:r w:rsidRPr="00B86247">
              <w:rPr>
                <w:rFonts w:ascii="Times New Roman" w:hAnsi="Times New Roman" w:cs="Times New Roman"/>
                <w:sz w:val="20"/>
                <w:szCs w:val="20"/>
              </w:rPr>
              <w:t>béren kívüli juttatásairól és bankszámla-hozzájárulásáról szóló 2/</w:t>
            </w:r>
            <w:r>
              <w:rPr>
                <w:rFonts w:ascii="Times New Roman" w:hAnsi="Times New Roman" w:cs="Times New Roman"/>
                <w:sz w:val="20"/>
                <w:szCs w:val="20"/>
              </w:rPr>
              <w:t>2020</w:t>
            </w:r>
            <w:r w:rsidRPr="00B86247">
              <w:rPr>
                <w:rFonts w:ascii="Times New Roman" w:hAnsi="Times New Roman" w:cs="Times New Roman"/>
                <w:sz w:val="20"/>
                <w:szCs w:val="20"/>
              </w:rPr>
              <w:t>. (II.</w:t>
            </w:r>
            <w:r>
              <w:rPr>
                <w:rFonts w:ascii="Times New Roman" w:hAnsi="Times New Roman" w:cs="Times New Roman"/>
                <w:sz w:val="20"/>
                <w:szCs w:val="20"/>
              </w:rPr>
              <w:t>13.) BM utasítás</w:t>
            </w:r>
          </w:p>
          <w:p w:rsidR="008F0216" w:rsidRPr="00F75432" w:rsidRDefault="00E70920" w:rsidP="00CF24BB">
            <w:pPr>
              <w:pStyle w:val="Listaszerbekezds"/>
              <w:numPr>
                <w:ilvl w:val="0"/>
                <w:numId w:val="7"/>
              </w:numPr>
              <w:spacing w:before="100" w:beforeAutospacing="1" w:after="100" w:afterAutospacing="1"/>
              <w:ind w:left="356"/>
              <w:jc w:val="both"/>
              <w:outlineLvl w:val="2"/>
              <w:rPr>
                <w:rFonts w:ascii="Times New Roman" w:hAnsi="Times New Roman" w:cs="Times New Roman"/>
                <w:sz w:val="20"/>
                <w:szCs w:val="20"/>
              </w:rPr>
            </w:pPr>
            <w:r w:rsidRPr="00B86247">
              <w:rPr>
                <w:rFonts w:ascii="Times New Roman" w:hAnsi="Times New Roman" w:cs="Times New Roman"/>
                <w:sz w:val="20"/>
                <w:szCs w:val="20"/>
              </w:rPr>
              <w:t xml:space="preserve">a választható béren kívüli juttatások rendszeréről szóló </w:t>
            </w:r>
            <w:r w:rsidR="00CF24BB">
              <w:rPr>
                <w:rFonts w:ascii="Times New Roman" w:hAnsi="Times New Roman" w:cs="Times New Roman"/>
                <w:sz w:val="20"/>
                <w:szCs w:val="20"/>
              </w:rPr>
              <w:t>2</w:t>
            </w:r>
            <w:r w:rsidRPr="00B86247">
              <w:rPr>
                <w:rFonts w:ascii="Times New Roman" w:hAnsi="Times New Roman" w:cs="Times New Roman"/>
                <w:sz w:val="20"/>
                <w:szCs w:val="20"/>
              </w:rPr>
              <w:t>/20</w:t>
            </w:r>
            <w:r w:rsidR="00CF24BB">
              <w:rPr>
                <w:rFonts w:ascii="Times New Roman" w:hAnsi="Times New Roman" w:cs="Times New Roman"/>
                <w:sz w:val="20"/>
                <w:szCs w:val="20"/>
              </w:rPr>
              <w:t xml:space="preserve">20. OP </w:t>
            </w:r>
            <w:r w:rsidRPr="00B86247">
              <w:rPr>
                <w:rFonts w:ascii="Times New Roman" w:hAnsi="Times New Roman" w:cs="Times New Roman"/>
                <w:sz w:val="20"/>
                <w:szCs w:val="20"/>
              </w:rPr>
              <w:t>utasítás</w:t>
            </w:r>
          </w:p>
        </w:tc>
      </w:tr>
      <w:tr w:rsidR="00CF24BB" w:rsidTr="006C7305">
        <w:trPr>
          <w:trHeight w:val="454"/>
        </w:trPr>
        <w:tc>
          <w:tcPr>
            <w:tcW w:w="4606" w:type="dxa"/>
          </w:tcPr>
          <w:p w:rsidR="00CF24BB" w:rsidRPr="008F0216" w:rsidRDefault="00CF24BB" w:rsidP="00B250FA">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vAlign w:val="center"/>
          </w:tcPr>
          <w:p w:rsidR="00CF24BB" w:rsidRPr="00CF24BB" w:rsidRDefault="00CF24BB" w:rsidP="00191775">
            <w:pPr>
              <w:jc w:val="both"/>
              <w:rPr>
                <w:rFonts w:ascii="Times New Roman" w:hAnsi="Times New Roman" w:cs="Times New Roman"/>
                <w:sz w:val="20"/>
                <w:szCs w:val="20"/>
              </w:rPr>
            </w:pPr>
            <w:r w:rsidRPr="00CF24BB">
              <w:rPr>
                <w:rFonts w:ascii="Times New Roman" w:hAnsi="Times New Roman" w:cs="Times New Roman"/>
                <w:sz w:val="20"/>
                <w:szCs w:val="20"/>
              </w:rPr>
              <w:t>Személyi állomány természetes személyazonosító adatai, béren kívüli juttatás választott formája és összege, igényelt időtartama</w:t>
            </w:r>
          </w:p>
        </w:tc>
      </w:tr>
      <w:tr w:rsidR="00CF24BB" w:rsidTr="006C7305">
        <w:trPr>
          <w:trHeight w:val="454"/>
        </w:trPr>
        <w:tc>
          <w:tcPr>
            <w:tcW w:w="4606" w:type="dxa"/>
          </w:tcPr>
          <w:p w:rsidR="00CF24BB" w:rsidRPr="008F0216" w:rsidRDefault="00CF24BB" w:rsidP="00B250FA">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vAlign w:val="center"/>
          </w:tcPr>
          <w:p w:rsidR="00CF24BB" w:rsidRPr="00CF24BB" w:rsidRDefault="00CF24BB" w:rsidP="00CF24BB">
            <w:pPr>
              <w:jc w:val="both"/>
              <w:rPr>
                <w:rFonts w:ascii="Times New Roman" w:hAnsi="Times New Roman" w:cs="Times New Roman"/>
                <w:sz w:val="20"/>
                <w:szCs w:val="20"/>
              </w:rPr>
            </w:pPr>
            <w:r w:rsidRPr="00CF24BB">
              <w:rPr>
                <w:rFonts w:ascii="Times New Roman" w:hAnsi="Times New Roman" w:cs="Times New Roman"/>
                <w:sz w:val="20"/>
                <w:szCs w:val="20"/>
              </w:rPr>
              <w:t>Személyi állomány</w:t>
            </w:r>
          </w:p>
        </w:tc>
      </w:tr>
      <w:tr w:rsidR="00CF24BB" w:rsidTr="006C7305">
        <w:trPr>
          <w:trHeight w:val="454"/>
        </w:trPr>
        <w:tc>
          <w:tcPr>
            <w:tcW w:w="4606" w:type="dxa"/>
          </w:tcPr>
          <w:p w:rsidR="00CF24BB" w:rsidRPr="008F0216" w:rsidRDefault="00CF24BB" w:rsidP="00B250FA">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vAlign w:val="center"/>
          </w:tcPr>
          <w:p w:rsidR="00CF24BB" w:rsidRPr="00CF24BB" w:rsidRDefault="00CF24BB" w:rsidP="00CF24BB">
            <w:pPr>
              <w:jc w:val="both"/>
              <w:rPr>
                <w:rFonts w:ascii="Times New Roman" w:hAnsi="Times New Roman" w:cs="Times New Roman"/>
                <w:sz w:val="20"/>
                <w:szCs w:val="20"/>
              </w:rPr>
            </w:pPr>
            <w:r w:rsidRPr="00CF24BB">
              <w:rPr>
                <w:rFonts w:ascii="Times New Roman" w:hAnsi="Times New Roman" w:cs="Times New Roman"/>
                <w:sz w:val="20"/>
                <w:szCs w:val="20"/>
              </w:rPr>
              <w:t>Személyi állomány által rendelkezésre bocsátott nyilatkozatok</w:t>
            </w:r>
          </w:p>
        </w:tc>
      </w:tr>
      <w:tr w:rsidR="008F0216" w:rsidTr="00A515FE">
        <w:trPr>
          <w:trHeight w:val="454"/>
        </w:trPr>
        <w:tc>
          <w:tcPr>
            <w:tcW w:w="4606" w:type="dxa"/>
          </w:tcPr>
          <w:p w:rsidR="008F0216" w:rsidRPr="008F0216" w:rsidRDefault="00981C22" w:rsidP="00B250FA">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CF24BB" w:rsidP="00043B15">
            <w:pPr>
              <w:jc w:val="both"/>
              <w:rPr>
                <w:rFonts w:ascii="Times New Roman" w:hAnsi="Times New Roman" w:cs="Times New Roman"/>
                <w:sz w:val="20"/>
                <w:szCs w:val="20"/>
              </w:rPr>
            </w:pPr>
            <w:proofErr w:type="spellStart"/>
            <w:r>
              <w:rPr>
                <w:rFonts w:ascii="Times New Roman" w:hAnsi="Times New Roman" w:cs="Times New Roman"/>
                <w:sz w:val="20"/>
                <w:szCs w:val="20"/>
              </w:rPr>
              <w:t>cafetéria</w:t>
            </w:r>
            <w:proofErr w:type="spellEnd"/>
            <w:r>
              <w:rPr>
                <w:rFonts w:ascii="Times New Roman" w:hAnsi="Times New Roman" w:cs="Times New Roman"/>
                <w:sz w:val="20"/>
                <w:szCs w:val="20"/>
              </w:rPr>
              <w:t xml:space="preserve"> nyilatkozatok</w:t>
            </w:r>
          </w:p>
        </w:tc>
      </w:tr>
      <w:tr w:rsidR="008F0216" w:rsidTr="00A515FE">
        <w:trPr>
          <w:trHeight w:val="454"/>
        </w:trPr>
        <w:tc>
          <w:tcPr>
            <w:tcW w:w="4606" w:type="dxa"/>
          </w:tcPr>
          <w:p w:rsidR="008F0216" w:rsidRPr="008F0216" w:rsidRDefault="00981C22" w:rsidP="00B250FA">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043B15" w:rsidP="00043B15">
            <w:pPr>
              <w:jc w:val="both"/>
              <w:rPr>
                <w:rFonts w:ascii="Times New Roman" w:hAnsi="Times New Roman" w:cs="Times New Roman"/>
                <w:sz w:val="20"/>
                <w:szCs w:val="20"/>
              </w:rPr>
            </w:pPr>
            <w:r w:rsidRPr="00C56E18">
              <w:rPr>
                <w:rFonts w:ascii="Times New Roman" w:hAnsi="Times New Roman" w:cs="Times New Roman"/>
                <w:sz w:val="20"/>
                <w:szCs w:val="20"/>
              </w:rPr>
              <w:t xml:space="preserve">a rendvédelmi feladatokat ellátó szervek hivatásos állományának szolgálati jogviszonyról </w:t>
            </w:r>
            <w:r>
              <w:rPr>
                <w:rFonts w:ascii="Times New Roman" w:hAnsi="Times New Roman" w:cs="Times New Roman"/>
                <w:sz w:val="20"/>
                <w:szCs w:val="20"/>
              </w:rPr>
              <w:t>s</w:t>
            </w:r>
            <w:r w:rsidRPr="00C56E18">
              <w:rPr>
                <w:rFonts w:ascii="Times New Roman" w:hAnsi="Times New Roman" w:cs="Times New Roman"/>
                <w:sz w:val="20"/>
                <w:szCs w:val="20"/>
              </w:rPr>
              <w:t xml:space="preserve">zóló 2015. évi XLII. törvény </w:t>
            </w:r>
            <w:r>
              <w:rPr>
                <w:rFonts w:ascii="Times New Roman" w:hAnsi="Times New Roman" w:cs="Times New Roman"/>
                <w:sz w:val="20"/>
                <w:szCs w:val="20"/>
              </w:rPr>
              <w:t>275.§ alapján</w:t>
            </w:r>
          </w:p>
        </w:tc>
      </w:tr>
      <w:tr w:rsidR="00981C22" w:rsidTr="00A515FE">
        <w:trPr>
          <w:trHeight w:val="454"/>
        </w:trPr>
        <w:tc>
          <w:tcPr>
            <w:tcW w:w="4606" w:type="dxa"/>
          </w:tcPr>
          <w:p w:rsidR="00981C22" w:rsidRPr="008F0216" w:rsidRDefault="00BF1696" w:rsidP="00B250FA">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043B15" w:rsidP="008F0216">
            <w:pPr>
              <w:jc w:val="both"/>
              <w:rPr>
                <w:rFonts w:ascii="Times New Roman" w:hAnsi="Times New Roman" w:cs="Times New Roman"/>
                <w:sz w:val="20"/>
                <w:szCs w:val="20"/>
              </w:rPr>
            </w:pPr>
            <w:r w:rsidRPr="00C56E18">
              <w:rPr>
                <w:rFonts w:ascii="Times New Roman" w:hAnsi="Times New Roman" w:cs="Times New Roman"/>
                <w:sz w:val="20"/>
                <w:szCs w:val="20"/>
              </w:rPr>
              <w:t xml:space="preserve">a rendvédelmi feladatokat ellátó szervek hivatásos állományának szolgálati jogviszonyról </w:t>
            </w:r>
            <w:r>
              <w:rPr>
                <w:rFonts w:ascii="Times New Roman" w:hAnsi="Times New Roman" w:cs="Times New Roman"/>
                <w:sz w:val="20"/>
                <w:szCs w:val="20"/>
              </w:rPr>
              <w:t>s</w:t>
            </w:r>
            <w:r w:rsidRPr="00C56E18">
              <w:rPr>
                <w:rFonts w:ascii="Times New Roman" w:hAnsi="Times New Roman" w:cs="Times New Roman"/>
                <w:sz w:val="20"/>
                <w:szCs w:val="20"/>
              </w:rPr>
              <w:t xml:space="preserve">zóló 2015. évi XLII. törvény </w:t>
            </w:r>
            <w:r>
              <w:rPr>
                <w:rFonts w:ascii="Times New Roman" w:hAnsi="Times New Roman" w:cs="Times New Roman"/>
                <w:sz w:val="20"/>
                <w:szCs w:val="20"/>
              </w:rPr>
              <w:t>275.§ alapján és az érintette hozzájárulása</w:t>
            </w:r>
          </w:p>
        </w:tc>
      </w:tr>
      <w:tr w:rsidR="00981C22" w:rsidTr="00A515FE">
        <w:trPr>
          <w:trHeight w:val="454"/>
        </w:trPr>
        <w:tc>
          <w:tcPr>
            <w:tcW w:w="4606" w:type="dxa"/>
          </w:tcPr>
          <w:p w:rsidR="00981C22" w:rsidRPr="008F0216" w:rsidRDefault="00BF1696" w:rsidP="00B250FA">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043B15" w:rsidP="008F0216">
            <w:pPr>
              <w:jc w:val="both"/>
              <w:rPr>
                <w:rFonts w:ascii="Times New Roman" w:hAnsi="Times New Roman" w:cs="Times New Roman"/>
                <w:sz w:val="20"/>
                <w:szCs w:val="20"/>
              </w:rPr>
            </w:pPr>
            <w:r w:rsidRPr="00043B15">
              <w:rPr>
                <w:rFonts w:ascii="Times New Roman" w:hAnsi="Times New Roman" w:cs="Times New Roman"/>
                <w:sz w:val="20"/>
                <w:szCs w:val="20"/>
              </w:rPr>
              <w:t>Törvény által előírt határidő alapján</w:t>
            </w:r>
          </w:p>
        </w:tc>
      </w:tr>
      <w:tr w:rsidR="00981C22" w:rsidTr="00A515FE">
        <w:trPr>
          <w:trHeight w:val="454"/>
        </w:trPr>
        <w:tc>
          <w:tcPr>
            <w:tcW w:w="4606" w:type="dxa"/>
          </w:tcPr>
          <w:p w:rsidR="00981C22" w:rsidRPr="008F0216" w:rsidRDefault="00BF1696" w:rsidP="00B250FA">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981C22" w:rsidRPr="008F0216"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BF1696" w:rsidTr="008F0216">
        <w:trPr>
          <w:trHeight w:val="567"/>
        </w:trPr>
        <w:tc>
          <w:tcPr>
            <w:tcW w:w="4606" w:type="dxa"/>
          </w:tcPr>
          <w:p w:rsidR="00BF1696" w:rsidRDefault="00BF1696" w:rsidP="00B250FA">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43B15" w:rsidRPr="00043B15" w:rsidRDefault="00043B15" w:rsidP="00043B15">
            <w:pPr>
              <w:rPr>
                <w:rFonts w:ascii="Times New Roman" w:hAnsi="Times New Roman" w:cs="Times New Roman"/>
                <w:sz w:val="20"/>
                <w:szCs w:val="20"/>
              </w:rPr>
            </w:pPr>
            <w:r w:rsidRPr="00043B15">
              <w:rPr>
                <w:rFonts w:ascii="Times New Roman" w:hAnsi="Times New Roman" w:cs="Times New Roman"/>
                <w:sz w:val="20"/>
                <w:szCs w:val="20"/>
              </w:rPr>
              <w:t xml:space="preserve">Tököli Országos </w:t>
            </w:r>
            <w:proofErr w:type="spellStart"/>
            <w:r w:rsidRPr="00043B15">
              <w:rPr>
                <w:rFonts w:ascii="Times New Roman" w:hAnsi="Times New Roman" w:cs="Times New Roman"/>
                <w:sz w:val="20"/>
                <w:szCs w:val="20"/>
              </w:rPr>
              <w:t>Bv</w:t>
            </w:r>
            <w:proofErr w:type="spellEnd"/>
            <w:r w:rsidRPr="00043B15">
              <w:rPr>
                <w:rFonts w:ascii="Times New Roman" w:hAnsi="Times New Roman" w:cs="Times New Roman"/>
                <w:sz w:val="20"/>
                <w:szCs w:val="20"/>
              </w:rPr>
              <w:t xml:space="preserve">. Intézet </w:t>
            </w:r>
          </w:p>
          <w:p w:rsidR="00BF1696" w:rsidRPr="008F0216" w:rsidRDefault="00043B15" w:rsidP="00043B15">
            <w:pPr>
              <w:jc w:val="both"/>
              <w:rPr>
                <w:rFonts w:ascii="Times New Roman" w:hAnsi="Times New Roman" w:cs="Times New Roman"/>
                <w:sz w:val="20"/>
                <w:szCs w:val="20"/>
              </w:rPr>
            </w:pPr>
            <w:r w:rsidRPr="00043B15">
              <w:rPr>
                <w:rFonts w:ascii="Times New Roman" w:hAnsi="Times New Roman" w:cs="Times New Roman"/>
                <w:sz w:val="20"/>
                <w:szCs w:val="20"/>
              </w:rPr>
              <w:t>2316 Tököl, Ráckevei út 6.</w:t>
            </w:r>
          </w:p>
        </w:tc>
      </w:tr>
      <w:tr w:rsidR="00270603" w:rsidTr="008F0216">
        <w:trPr>
          <w:trHeight w:val="567"/>
        </w:trPr>
        <w:tc>
          <w:tcPr>
            <w:tcW w:w="4606" w:type="dxa"/>
          </w:tcPr>
          <w:p w:rsidR="00270603" w:rsidRDefault="00270603" w:rsidP="00B250FA">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5A2650" w:rsidP="005A2650">
            <w:pPr>
              <w:jc w:val="both"/>
              <w:rPr>
                <w:rFonts w:ascii="Times New Roman" w:hAnsi="Times New Roman"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B250FA" w:rsidRDefault="00B250FA" w:rsidP="00B250F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B250FA" w:rsidRDefault="00B250FA" w:rsidP="00B250FA">
      <w:pPr>
        <w:spacing w:after="0" w:line="240" w:lineRule="auto"/>
        <w:jc w:val="both"/>
        <w:rPr>
          <w:rFonts w:ascii="Times New Roman" w:hAnsi="Times New Roman" w:cs="Times New Roman"/>
          <w:sz w:val="20"/>
          <w:szCs w:val="24"/>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hozzáférési jog érvényesülése érdekében tájékoztatást kérni személyes adatai kezeléséről, valamint kérni a kezelt személyes adatok rendelkezésre bocsátását,</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250FA" w:rsidRDefault="00B250FA" w:rsidP="00B250FA">
      <w:pPr>
        <w:spacing w:after="0" w:line="240" w:lineRule="auto"/>
        <w:ind w:left="360"/>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250FA" w:rsidRDefault="00B250FA" w:rsidP="00B250FA">
      <w:pPr>
        <w:pStyle w:val="Listaszerbekezds"/>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B250FA" w:rsidRDefault="00B250FA" w:rsidP="00B250FA">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a tiltakozott az adatkezelés ellen; ez esetben a korlátozás arra az időtartamra vonatkozik, amíg megállapításra nem kerül, hogy az adatkezelő jogos indokai elsőbbséget élveznek-e az érintett jogos indokaival szemben.</w:t>
      </w:r>
    </w:p>
    <w:p w:rsidR="00B250FA" w:rsidRDefault="00B250FA" w:rsidP="00B250FA">
      <w:pPr>
        <w:spacing w:after="0" w:line="240" w:lineRule="auto"/>
        <w:ind w:left="360"/>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250FA" w:rsidRDefault="00B250FA" w:rsidP="00B250FA">
      <w:pPr>
        <w:spacing w:after="0" w:line="240" w:lineRule="auto"/>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B250FA" w:rsidRDefault="00B250FA" w:rsidP="00B250FA">
      <w:pPr>
        <w:spacing w:after="0" w:line="240" w:lineRule="auto"/>
        <w:ind w:left="720"/>
        <w:jc w:val="both"/>
        <w:rPr>
          <w:rFonts w:ascii="Times New Roman" w:hAnsi="Times New Roman" w:cs="Times New Roman"/>
          <w:sz w:val="20"/>
          <w:szCs w:val="20"/>
        </w:rPr>
      </w:pPr>
    </w:p>
    <w:p w:rsidR="00B250FA" w:rsidRDefault="00B250FA" w:rsidP="00B250F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B250FA" w:rsidRDefault="00B250FA" w:rsidP="00B250FA">
      <w:pPr>
        <w:spacing w:after="0" w:line="240" w:lineRule="auto"/>
        <w:jc w:val="both"/>
        <w:rPr>
          <w:rFonts w:ascii="Times New Roman" w:hAnsi="Times New Roman" w:cs="Times New Roman"/>
          <w:sz w:val="20"/>
          <w:szCs w:val="20"/>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15" w:rsidRDefault="00E04715" w:rsidP="008F1075">
      <w:pPr>
        <w:spacing w:after="0" w:line="240" w:lineRule="auto"/>
      </w:pPr>
      <w:r>
        <w:separator/>
      </w:r>
    </w:p>
  </w:endnote>
  <w:endnote w:type="continuationSeparator" w:id="0">
    <w:p w:rsidR="00E04715" w:rsidRDefault="00E04715"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FA" w:rsidRDefault="00B250F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FA" w:rsidRDefault="00B250F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FA" w:rsidRDefault="00B250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15" w:rsidRDefault="00E04715" w:rsidP="008F1075">
      <w:pPr>
        <w:spacing w:after="0" w:line="240" w:lineRule="auto"/>
      </w:pPr>
      <w:r>
        <w:separator/>
      </w:r>
    </w:p>
  </w:footnote>
  <w:footnote w:type="continuationSeparator" w:id="0">
    <w:p w:rsidR="00E04715" w:rsidRDefault="00E04715"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FA" w:rsidRDefault="00B250F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FA" w:rsidRDefault="00B250F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15" w:rsidRDefault="00E04715" w:rsidP="008F1075">
    <w:pPr>
      <w:pStyle w:val="lfej"/>
      <w:jc w:val="center"/>
      <w:rPr>
        <w:rFonts w:ascii="Times New Roman" w:hAnsi="Times New Roman" w:cs="Times New Roman"/>
        <w:sz w:val="24"/>
      </w:rPr>
    </w:pPr>
  </w:p>
  <w:p w:rsidR="00E04715" w:rsidRDefault="00E04715"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04715" w:rsidRDefault="00E04715" w:rsidP="008A5F0B">
    <w:pPr>
      <w:pStyle w:val="lfej"/>
      <w:jc w:val="center"/>
      <w:rPr>
        <w:rFonts w:ascii="Times New Roman" w:hAnsi="Times New Roman" w:cs="Times New Roman"/>
        <w:sz w:val="24"/>
      </w:rPr>
    </w:pPr>
  </w:p>
  <w:p w:rsidR="001F5F36" w:rsidRDefault="001F5F36" w:rsidP="001F5F36">
    <w:pPr>
      <w:pStyle w:val="lfej"/>
      <w:jc w:val="center"/>
      <w:rPr>
        <w:rFonts w:cs="Times New Roman"/>
      </w:rPr>
    </w:pPr>
    <w:r>
      <w:rPr>
        <w:rFonts w:cs="Times New Roman"/>
      </w:rPr>
      <w:t xml:space="preserve">TÖKÖLI ORSZÁGOS BÜNTETÉS -VÉGREHAJTÁSI </w:t>
    </w:r>
    <w:r>
      <w:rPr>
        <w:rFonts w:cs="Times New Roman"/>
        <w:szCs w:val="24"/>
      </w:rPr>
      <w:t>I</w:t>
    </w:r>
    <w:r>
      <w:rPr>
        <w:rFonts w:cs="Times New Roman"/>
      </w:rPr>
      <w:t>NTÉZET</w:t>
    </w:r>
  </w:p>
  <w:p w:rsidR="001F5F36" w:rsidRDefault="001F5F36" w:rsidP="001F5F36">
    <w:pPr>
      <w:pStyle w:val="lfej"/>
      <w:jc w:val="center"/>
      <w:rPr>
        <w:rFonts w:cs="Times New Roman"/>
        <w:sz w:val="24"/>
      </w:rPr>
    </w:pPr>
    <w:r>
      <w:rPr>
        <w:rFonts w:cs="Times New Roman"/>
      </w:rPr>
      <w:t xml:space="preserve">FIATALKORÚAK BÜNTETÉS-VÉGREHAJTÁSI INTÉZETE </w:t>
    </w:r>
  </w:p>
  <w:p w:rsidR="001F5F36" w:rsidRDefault="00B250FA" w:rsidP="001F5F3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p w:rsidR="00E04715" w:rsidRDefault="00E04715" w:rsidP="008A5F0B">
    <w:pPr>
      <w:pStyle w:val="lfej"/>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B0A"/>
    <w:multiLevelType w:val="hybridMultilevel"/>
    <w:tmpl w:val="C2A0F50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97D2D26"/>
    <w:multiLevelType w:val="hybridMultilevel"/>
    <w:tmpl w:val="AF3C3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CF4705"/>
    <w:multiLevelType w:val="hybridMultilevel"/>
    <w:tmpl w:val="C214245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16D39F9"/>
    <w:multiLevelType w:val="hybridMultilevel"/>
    <w:tmpl w:val="7BA26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5"/>
  </w:num>
  <w:num w:numId="6">
    <w:abstractNumId w:val="2"/>
  </w:num>
  <w:num w:numId="7">
    <w:abstractNumId w:val="6"/>
  </w:num>
  <w:num w:numId="8">
    <w:abstractNumId w:val="8"/>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43B15"/>
    <w:rsid w:val="0006427A"/>
    <w:rsid w:val="00065E5E"/>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1F5F36"/>
    <w:rsid w:val="00236BAB"/>
    <w:rsid w:val="00254F85"/>
    <w:rsid w:val="00262B9C"/>
    <w:rsid w:val="00270603"/>
    <w:rsid w:val="002E12BE"/>
    <w:rsid w:val="002E3A07"/>
    <w:rsid w:val="002E5D07"/>
    <w:rsid w:val="00300989"/>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0A1C"/>
    <w:rsid w:val="0053417A"/>
    <w:rsid w:val="0053688B"/>
    <w:rsid w:val="0057409A"/>
    <w:rsid w:val="005A09AB"/>
    <w:rsid w:val="005A2650"/>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1D3"/>
    <w:rsid w:val="00A76CB9"/>
    <w:rsid w:val="00A9339B"/>
    <w:rsid w:val="00AF3C93"/>
    <w:rsid w:val="00B250FA"/>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CF24BB"/>
    <w:rsid w:val="00D542DC"/>
    <w:rsid w:val="00D549EC"/>
    <w:rsid w:val="00D81464"/>
    <w:rsid w:val="00D964CC"/>
    <w:rsid w:val="00DA56A5"/>
    <w:rsid w:val="00DA58C9"/>
    <w:rsid w:val="00DB0A6D"/>
    <w:rsid w:val="00DB2E1A"/>
    <w:rsid w:val="00DB3887"/>
    <w:rsid w:val="00DC28C4"/>
    <w:rsid w:val="00E02105"/>
    <w:rsid w:val="00E04715"/>
    <w:rsid w:val="00E10E14"/>
    <w:rsid w:val="00E1650A"/>
    <w:rsid w:val="00E259C3"/>
    <w:rsid w:val="00E41872"/>
    <w:rsid w:val="00E70920"/>
    <w:rsid w:val="00E72455"/>
    <w:rsid w:val="00E92B48"/>
    <w:rsid w:val="00E93538"/>
    <w:rsid w:val="00EF646E"/>
    <w:rsid w:val="00F34E68"/>
    <w:rsid w:val="00F64B15"/>
    <w:rsid w:val="00F75432"/>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86577927">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961888800">
      <w:bodyDiv w:val="1"/>
      <w:marLeft w:val="0"/>
      <w:marRight w:val="0"/>
      <w:marTop w:val="0"/>
      <w:marBottom w:val="0"/>
      <w:divBdr>
        <w:top w:val="none" w:sz="0" w:space="0" w:color="auto"/>
        <w:left w:val="none" w:sz="0" w:space="0" w:color="auto"/>
        <w:bottom w:val="none" w:sz="0" w:space="0" w:color="auto"/>
        <w:right w:val="none" w:sz="0" w:space="0" w:color="auto"/>
      </w:divBdr>
    </w:div>
    <w:div w:id="1159686021">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2E49-2E22-4D14-87DC-72160986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7646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monostory.peter</cp:lastModifiedBy>
  <cp:revision>3</cp:revision>
  <cp:lastPrinted>2019-03-13T10:13:00Z</cp:lastPrinted>
  <dcterms:created xsi:type="dcterms:W3CDTF">2020-03-25T13:54:00Z</dcterms:created>
  <dcterms:modified xsi:type="dcterms:W3CDTF">2020-04-01T09:39:00Z</dcterms:modified>
</cp:coreProperties>
</file>