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EAB" w:rsidRDefault="004E6EAB" w:rsidP="004044CE">
      <w:pPr>
        <w:pStyle w:val="Default"/>
        <w:rPr>
          <w:b/>
          <w:bCs/>
          <w:sz w:val="28"/>
          <w:szCs w:val="28"/>
        </w:rPr>
      </w:pPr>
      <w:bookmarkStart w:id="0" w:name="_GoBack"/>
      <w:bookmarkEnd w:id="0"/>
    </w:p>
    <w:tbl>
      <w:tblPr>
        <w:tblStyle w:val="Rcsostblzat"/>
        <w:tblW w:w="0" w:type="auto"/>
        <w:tblLook w:val="04A0" w:firstRow="1" w:lastRow="0" w:firstColumn="1" w:lastColumn="0" w:noHBand="0" w:noVBand="1"/>
      </w:tblPr>
      <w:tblGrid>
        <w:gridCol w:w="4606"/>
        <w:gridCol w:w="4606"/>
      </w:tblGrid>
      <w:tr w:rsidR="004E6EAB" w:rsidTr="004E6EAB">
        <w:tc>
          <w:tcPr>
            <w:tcW w:w="4606" w:type="dxa"/>
          </w:tcPr>
          <w:p w:rsidR="004E6EAB" w:rsidRPr="001F0A17" w:rsidRDefault="004E6EAB" w:rsidP="0081184E">
            <w:pPr>
              <w:pStyle w:val="Default"/>
              <w:rPr>
                <w:sz w:val="20"/>
                <w:szCs w:val="20"/>
              </w:rPr>
            </w:pPr>
            <w:r w:rsidRPr="001F0A17">
              <w:rPr>
                <w:sz w:val="20"/>
                <w:szCs w:val="20"/>
              </w:rPr>
              <w:t xml:space="preserve"> Nyilvántartási szám: </w:t>
            </w:r>
          </w:p>
        </w:tc>
        <w:tc>
          <w:tcPr>
            <w:tcW w:w="4606" w:type="dxa"/>
          </w:tcPr>
          <w:p w:rsidR="004E6EAB" w:rsidRPr="004044CE" w:rsidRDefault="004044CE" w:rsidP="0081184E">
            <w:pPr>
              <w:pStyle w:val="Default"/>
              <w:rPr>
                <w:sz w:val="20"/>
                <w:szCs w:val="20"/>
              </w:rPr>
            </w:pPr>
            <w:r w:rsidRPr="004044CE">
              <w:rPr>
                <w:bCs/>
                <w:sz w:val="20"/>
                <w:szCs w:val="20"/>
              </w:rPr>
              <w:t>30549-13/25-1/2021.</w:t>
            </w:r>
            <w:r w:rsidR="00F560DE" w:rsidRPr="004044CE">
              <w:rPr>
                <w:sz w:val="20"/>
                <w:szCs w:val="20"/>
              </w:rPr>
              <w:t>Anyvt.</w:t>
            </w:r>
          </w:p>
        </w:tc>
      </w:tr>
      <w:tr w:rsidR="004E6EAB" w:rsidTr="004E6EAB">
        <w:tc>
          <w:tcPr>
            <w:tcW w:w="4606" w:type="dxa"/>
          </w:tcPr>
          <w:p w:rsidR="004E6EAB" w:rsidRPr="001F0A17" w:rsidRDefault="004E6EAB" w:rsidP="0081184E">
            <w:pPr>
              <w:pStyle w:val="Default"/>
              <w:rPr>
                <w:sz w:val="20"/>
                <w:szCs w:val="20"/>
              </w:rPr>
            </w:pPr>
            <w:r w:rsidRPr="001F0A17">
              <w:rPr>
                <w:sz w:val="20"/>
                <w:szCs w:val="20"/>
              </w:rPr>
              <w:t xml:space="preserve">Az adatkezelés megnevezése </w:t>
            </w:r>
          </w:p>
        </w:tc>
        <w:tc>
          <w:tcPr>
            <w:tcW w:w="4606" w:type="dxa"/>
          </w:tcPr>
          <w:p w:rsidR="004E6EAB" w:rsidRPr="001F0A17" w:rsidRDefault="001F0A17" w:rsidP="00F560DE">
            <w:pPr>
              <w:pStyle w:val="Default"/>
              <w:jc w:val="both"/>
              <w:rPr>
                <w:sz w:val="20"/>
                <w:szCs w:val="20"/>
              </w:rPr>
            </w:pPr>
            <w:r w:rsidRPr="001F0A17">
              <w:rPr>
                <w:sz w:val="20"/>
                <w:szCs w:val="20"/>
              </w:rPr>
              <w:t>A szexuális bűnelkövetők  részére  felajánlott,  a visszaesés  valószínűségét  csökkentő  terápiás  jellegű foglalkozás adatai</w:t>
            </w:r>
          </w:p>
        </w:tc>
      </w:tr>
      <w:tr w:rsidR="004E6EAB" w:rsidTr="0081184E">
        <w:trPr>
          <w:trHeight w:val="955"/>
        </w:trPr>
        <w:tc>
          <w:tcPr>
            <w:tcW w:w="4606" w:type="dxa"/>
          </w:tcPr>
          <w:p w:rsidR="004E6EAB" w:rsidRPr="001F0A17" w:rsidRDefault="004E6EAB" w:rsidP="0081184E">
            <w:pPr>
              <w:pStyle w:val="Default"/>
              <w:rPr>
                <w:sz w:val="20"/>
                <w:szCs w:val="20"/>
              </w:rPr>
            </w:pPr>
            <w:r w:rsidRPr="001F0A17">
              <w:rPr>
                <w:sz w:val="20"/>
                <w:szCs w:val="20"/>
              </w:rPr>
              <w:t xml:space="preserve">Az adatkezelés célja </w:t>
            </w:r>
          </w:p>
        </w:tc>
        <w:tc>
          <w:tcPr>
            <w:tcW w:w="4606" w:type="dxa"/>
          </w:tcPr>
          <w:p w:rsidR="004E6EAB" w:rsidRPr="001F0A17" w:rsidRDefault="002C0641" w:rsidP="00F560DE">
            <w:pPr>
              <w:pStyle w:val="Default"/>
              <w:jc w:val="both"/>
              <w:rPr>
                <w:sz w:val="20"/>
                <w:szCs w:val="20"/>
              </w:rPr>
            </w:pPr>
            <w:r w:rsidRPr="001F0A17">
              <w:rPr>
                <w:sz w:val="20"/>
                <w:szCs w:val="20"/>
              </w:rPr>
              <w:t>A végrehajtásért felelős szerv törvényben meghatározott feladatai teljesítése érdekében.</w:t>
            </w:r>
          </w:p>
        </w:tc>
      </w:tr>
      <w:tr w:rsidR="004E6EAB" w:rsidTr="004E6EAB">
        <w:tc>
          <w:tcPr>
            <w:tcW w:w="4606" w:type="dxa"/>
          </w:tcPr>
          <w:p w:rsidR="002C0641" w:rsidRPr="001F0A17" w:rsidRDefault="004E6EAB" w:rsidP="0081184E">
            <w:pPr>
              <w:pStyle w:val="Default"/>
              <w:rPr>
                <w:sz w:val="20"/>
                <w:szCs w:val="20"/>
              </w:rPr>
            </w:pPr>
            <w:r w:rsidRPr="001F0A17">
              <w:rPr>
                <w:sz w:val="20"/>
                <w:szCs w:val="20"/>
              </w:rPr>
              <w:t xml:space="preserve">Az adatkezelés jogalapja </w:t>
            </w:r>
          </w:p>
          <w:p w:rsidR="002C0641" w:rsidRPr="001F0A17" w:rsidRDefault="002C0641" w:rsidP="002C0641">
            <w:pPr>
              <w:rPr>
                <w:sz w:val="20"/>
                <w:szCs w:val="20"/>
              </w:rPr>
            </w:pPr>
          </w:p>
          <w:p w:rsidR="002C0641" w:rsidRPr="001F0A17" w:rsidRDefault="002C0641" w:rsidP="002C0641">
            <w:pPr>
              <w:rPr>
                <w:sz w:val="20"/>
                <w:szCs w:val="20"/>
              </w:rPr>
            </w:pPr>
          </w:p>
          <w:p w:rsidR="002C0641" w:rsidRPr="001F0A17" w:rsidRDefault="002C0641" w:rsidP="002C0641">
            <w:pPr>
              <w:rPr>
                <w:sz w:val="20"/>
                <w:szCs w:val="20"/>
              </w:rPr>
            </w:pPr>
          </w:p>
          <w:p w:rsidR="002C0641" w:rsidRPr="001F0A17" w:rsidRDefault="002C0641" w:rsidP="002C0641">
            <w:pPr>
              <w:rPr>
                <w:sz w:val="20"/>
                <w:szCs w:val="20"/>
              </w:rPr>
            </w:pPr>
          </w:p>
          <w:p w:rsidR="004E6EAB" w:rsidRPr="001F0A17" w:rsidRDefault="002C0641" w:rsidP="002C0641">
            <w:pPr>
              <w:tabs>
                <w:tab w:val="left" w:pos="1635"/>
              </w:tabs>
              <w:rPr>
                <w:sz w:val="20"/>
                <w:szCs w:val="20"/>
              </w:rPr>
            </w:pPr>
            <w:r w:rsidRPr="001F0A17">
              <w:rPr>
                <w:sz w:val="20"/>
                <w:szCs w:val="20"/>
              </w:rPr>
              <w:tab/>
            </w:r>
          </w:p>
        </w:tc>
        <w:tc>
          <w:tcPr>
            <w:tcW w:w="4606" w:type="dxa"/>
          </w:tcPr>
          <w:p w:rsidR="004E6EAB" w:rsidRPr="001F0A17" w:rsidRDefault="001F0A17" w:rsidP="002C0641">
            <w:pPr>
              <w:pStyle w:val="Default"/>
              <w:jc w:val="both"/>
              <w:rPr>
                <w:sz w:val="20"/>
                <w:szCs w:val="20"/>
              </w:rPr>
            </w:pPr>
            <w:r w:rsidRPr="001F0A17">
              <w:rPr>
                <w:sz w:val="20"/>
                <w:szCs w:val="20"/>
              </w:rPr>
              <w:t>A büntetések, az intézkedések, egyes kényszerintézkedések és a szabálysértési elzárás végrehajtásáról szóló 2013. évi CCXL. törvény, az egészségügyi és a hozzájuk kapcsolódó személyes adatok kezeléséről és védelméről szóló 1997. évi XLVII. törvény, az egészségügyről szóló 1997. évi CLIV. törvény, valamint a büntetés-végrehajtási intézetben fogvatartott elítéltek és egyéb jogcímen fogvatartottak fegyelmi felelősségéről szóló 14/2014. (XII. 17.) IM rendelet, illetve a szabadságvesztés, az elzárás, az előzetes letartóztatás és a rendbírság helyébe lépő elzárás végrehajtásának részletes szabályairól szóló 16/2014. (XII. 19.) IM rendelet</w:t>
            </w:r>
          </w:p>
        </w:tc>
      </w:tr>
      <w:tr w:rsidR="004E6EAB" w:rsidTr="004E6EAB">
        <w:tc>
          <w:tcPr>
            <w:tcW w:w="4606" w:type="dxa"/>
          </w:tcPr>
          <w:p w:rsidR="004E6EAB" w:rsidRPr="001F0A17" w:rsidRDefault="004E6EAB" w:rsidP="0081184E">
            <w:pPr>
              <w:pStyle w:val="Default"/>
              <w:rPr>
                <w:sz w:val="20"/>
                <w:szCs w:val="20"/>
              </w:rPr>
            </w:pPr>
            <w:r w:rsidRPr="001F0A17">
              <w:rPr>
                <w:sz w:val="20"/>
                <w:szCs w:val="20"/>
              </w:rPr>
              <w:t xml:space="preserve">Az adatok fajtája </w:t>
            </w:r>
          </w:p>
        </w:tc>
        <w:tc>
          <w:tcPr>
            <w:tcW w:w="4606" w:type="dxa"/>
          </w:tcPr>
          <w:p w:rsidR="004E6EAB" w:rsidRPr="001F0A17" w:rsidRDefault="001F0A17" w:rsidP="001F0A17">
            <w:pPr>
              <w:pStyle w:val="Default"/>
              <w:jc w:val="both"/>
              <w:rPr>
                <w:sz w:val="20"/>
                <w:szCs w:val="20"/>
              </w:rPr>
            </w:pPr>
            <w:r w:rsidRPr="001F0A17">
              <w:rPr>
                <w:sz w:val="20"/>
                <w:szCs w:val="20"/>
              </w:rPr>
              <w:t>A végrehajtásra  vonatkozó  adatok,  a  végrehajtással összefüggésben  a fogvatartottra  vonatkozó  személyes  adatok,  a kockázatelemzéshez szükséges adatok.</w:t>
            </w:r>
          </w:p>
        </w:tc>
      </w:tr>
      <w:tr w:rsidR="004E6EAB" w:rsidTr="004E6EAB">
        <w:tc>
          <w:tcPr>
            <w:tcW w:w="4606" w:type="dxa"/>
          </w:tcPr>
          <w:p w:rsidR="004E6EAB" w:rsidRPr="001F0A17" w:rsidRDefault="004E6EAB" w:rsidP="0081184E">
            <w:pPr>
              <w:pStyle w:val="Default"/>
              <w:rPr>
                <w:sz w:val="20"/>
                <w:szCs w:val="20"/>
              </w:rPr>
            </w:pPr>
            <w:r w:rsidRPr="001F0A17">
              <w:rPr>
                <w:sz w:val="20"/>
                <w:szCs w:val="20"/>
              </w:rPr>
              <w:t xml:space="preserve">Az érintettek köre </w:t>
            </w:r>
          </w:p>
        </w:tc>
        <w:tc>
          <w:tcPr>
            <w:tcW w:w="4606" w:type="dxa"/>
          </w:tcPr>
          <w:p w:rsidR="004E6EAB" w:rsidRPr="001F0A17" w:rsidRDefault="001F0A17" w:rsidP="002C0641">
            <w:pPr>
              <w:pStyle w:val="Default"/>
              <w:jc w:val="both"/>
              <w:rPr>
                <w:sz w:val="20"/>
                <w:szCs w:val="20"/>
              </w:rPr>
            </w:pPr>
            <w:r w:rsidRPr="001F0A17">
              <w:rPr>
                <w:sz w:val="20"/>
                <w:szCs w:val="20"/>
              </w:rPr>
              <w:t>Fogvatartottak.</w:t>
            </w:r>
          </w:p>
        </w:tc>
      </w:tr>
      <w:tr w:rsidR="004E6EAB" w:rsidTr="004E6EAB">
        <w:tc>
          <w:tcPr>
            <w:tcW w:w="4606" w:type="dxa"/>
          </w:tcPr>
          <w:p w:rsidR="004E6EAB" w:rsidRPr="001F0A17" w:rsidRDefault="004E6EAB" w:rsidP="0081184E">
            <w:pPr>
              <w:pStyle w:val="Default"/>
              <w:rPr>
                <w:sz w:val="20"/>
                <w:szCs w:val="20"/>
              </w:rPr>
            </w:pPr>
            <w:r w:rsidRPr="001F0A17">
              <w:rPr>
                <w:sz w:val="20"/>
                <w:szCs w:val="20"/>
              </w:rPr>
              <w:t xml:space="preserve">Az adatok forrása </w:t>
            </w:r>
          </w:p>
        </w:tc>
        <w:tc>
          <w:tcPr>
            <w:tcW w:w="4606" w:type="dxa"/>
          </w:tcPr>
          <w:p w:rsidR="004E6EAB" w:rsidRPr="001F0A17" w:rsidRDefault="001F0A17" w:rsidP="001F0A17">
            <w:pPr>
              <w:pStyle w:val="Default"/>
              <w:jc w:val="both"/>
              <w:rPr>
                <w:sz w:val="20"/>
                <w:szCs w:val="20"/>
              </w:rPr>
            </w:pPr>
            <w:r w:rsidRPr="001F0A17">
              <w:rPr>
                <w:sz w:val="20"/>
                <w:szCs w:val="20"/>
              </w:rPr>
              <w:t>Személyes  iratok,  büntetőeljárás  során  keletkezett iratok, végrehajtáshoz szükséges egyéb iratok, fogvatartotti nyilvántartás, prediktív mérőeszköz.</w:t>
            </w:r>
          </w:p>
        </w:tc>
      </w:tr>
      <w:tr w:rsidR="004E6EAB" w:rsidTr="004E6EAB">
        <w:tc>
          <w:tcPr>
            <w:tcW w:w="4606" w:type="dxa"/>
          </w:tcPr>
          <w:p w:rsidR="004E6EAB" w:rsidRPr="001F0A17" w:rsidRDefault="004E6EAB" w:rsidP="0081184E">
            <w:pPr>
              <w:pStyle w:val="Default"/>
              <w:rPr>
                <w:sz w:val="20"/>
                <w:szCs w:val="20"/>
              </w:rPr>
            </w:pPr>
            <w:r w:rsidRPr="001F0A17">
              <w:rPr>
                <w:sz w:val="20"/>
                <w:szCs w:val="20"/>
              </w:rPr>
              <w:t xml:space="preserve">A továbbított adatok fajtája </w:t>
            </w:r>
          </w:p>
        </w:tc>
        <w:tc>
          <w:tcPr>
            <w:tcW w:w="4606" w:type="dxa"/>
          </w:tcPr>
          <w:p w:rsidR="004E6EAB" w:rsidRPr="001F0A17" w:rsidRDefault="001F0A17" w:rsidP="0081184E">
            <w:pPr>
              <w:pStyle w:val="Default"/>
              <w:rPr>
                <w:sz w:val="20"/>
                <w:szCs w:val="20"/>
              </w:rPr>
            </w:pPr>
            <w:r w:rsidRPr="001F0A17">
              <w:rPr>
                <w:sz w:val="20"/>
                <w:szCs w:val="20"/>
              </w:rPr>
              <w:t>Fogvatartott neve, nyilvántartási száma, számított szabadulás dátuma</w:t>
            </w:r>
          </w:p>
        </w:tc>
      </w:tr>
      <w:tr w:rsidR="004E6EAB" w:rsidTr="004E6EAB">
        <w:tc>
          <w:tcPr>
            <w:tcW w:w="4606" w:type="dxa"/>
          </w:tcPr>
          <w:p w:rsidR="004E6EAB" w:rsidRPr="001F0A17" w:rsidRDefault="004E6EAB" w:rsidP="0081184E">
            <w:pPr>
              <w:pStyle w:val="Default"/>
              <w:rPr>
                <w:sz w:val="20"/>
                <w:szCs w:val="20"/>
              </w:rPr>
            </w:pPr>
            <w:r w:rsidRPr="001F0A17">
              <w:rPr>
                <w:sz w:val="20"/>
                <w:szCs w:val="20"/>
              </w:rPr>
              <w:t xml:space="preserve"> </w:t>
            </w:r>
            <w:r w:rsidR="00BC4E28" w:rsidRPr="001F0A17">
              <w:rPr>
                <w:sz w:val="20"/>
                <w:szCs w:val="20"/>
              </w:rPr>
              <w:t>A továbbított adatok címzettje</w:t>
            </w:r>
          </w:p>
          <w:p w:rsidR="004E6EAB" w:rsidRPr="001F0A17" w:rsidRDefault="004E6EAB" w:rsidP="0081184E">
            <w:pPr>
              <w:pStyle w:val="Default"/>
              <w:rPr>
                <w:sz w:val="20"/>
                <w:szCs w:val="20"/>
              </w:rPr>
            </w:pPr>
          </w:p>
        </w:tc>
        <w:tc>
          <w:tcPr>
            <w:tcW w:w="4606" w:type="dxa"/>
          </w:tcPr>
          <w:p w:rsidR="004E6EAB" w:rsidRPr="001F0A17" w:rsidRDefault="001F0A17" w:rsidP="0081184E">
            <w:pPr>
              <w:pStyle w:val="Default"/>
              <w:rPr>
                <w:sz w:val="20"/>
                <w:szCs w:val="20"/>
              </w:rPr>
            </w:pPr>
            <w:proofErr w:type="spellStart"/>
            <w:r w:rsidRPr="001F0A17">
              <w:rPr>
                <w:sz w:val="20"/>
                <w:szCs w:val="20"/>
              </w:rPr>
              <w:t>Fogvatartási</w:t>
            </w:r>
            <w:proofErr w:type="spellEnd"/>
            <w:r w:rsidRPr="001F0A17">
              <w:rPr>
                <w:sz w:val="20"/>
                <w:szCs w:val="20"/>
              </w:rPr>
              <w:t xml:space="preserve"> ügyek szolgálata</w:t>
            </w:r>
          </w:p>
        </w:tc>
      </w:tr>
      <w:tr w:rsidR="0081184E" w:rsidTr="0081184E">
        <w:trPr>
          <w:trHeight w:val="274"/>
        </w:trPr>
        <w:tc>
          <w:tcPr>
            <w:tcW w:w="4606" w:type="dxa"/>
          </w:tcPr>
          <w:p w:rsidR="0081184E" w:rsidRPr="001F0A17" w:rsidRDefault="0081184E" w:rsidP="0081184E">
            <w:pPr>
              <w:pStyle w:val="Default"/>
              <w:rPr>
                <w:sz w:val="20"/>
                <w:szCs w:val="20"/>
              </w:rPr>
            </w:pPr>
            <w:r w:rsidRPr="001F0A17">
              <w:rPr>
                <w:sz w:val="20"/>
                <w:szCs w:val="20"/>
              </w:rPr>
              <w:t>Az adattovábbítás jogalapja</w:t>
            </w:r>
          </w:p>
        </w:tc>
        <w:tc>
          <w:tcPr>
            <w:tcW w:w="4606" w:type="dxa"/>
          </w:tcPr>
          <w:p w:rsidR="0081184E" w:rsidRPr="001F0A17" w:rsidRDefault="001F0A17" w:rsidP="001F0A17">
            <w:pPr>
              <w:pStyle w:val="Default"/>
              <w:jc w:val="both"/>
              <w:rPr>
                <w:sz w:val="20"/>
                <w:szCs w:val="20"/>
              </w:rPr>
            </w:pPr>
            <w:r w:rsidRPr="001F0A17">
              <w:rPr>
                <w:sz w:val="20"/>
                <w:szCs w:val="20"/>
              </w:rPr>
              <w:t>Büntetések, az intézkedések, egyes kényszerintézkedések és a szabálysértési elzárás végrehajtásáról szóló 2013. évi CCXL. törvény; 5/2017. (I.23.) OP szakutasítás</w:t>
            </w:r>
          </w:p>
        </w:tc>
      </w:tr>
      <w:tr w:rsidR="0081184E" w:rsidTr="004E6EAB">
        <w:tc>
          <w:tcPr>
            <w:tcW w:w="4606" w:type="dxa"/>
          </w:tcPr>
          <w:tbl>
            <w:tblPr>
              <w:tblW w:w="0" w:type="auto"/>
              <w:tblBorders>
                <w:top w:val="nil"/>
                <w:left w:val="nil"/>
                <w:bottom w:val="nil"/>
                <w:right w:val="nil"/>
              </w:tblBorders>
              <w:tblLook w:val="0000" w:firstRow="0" w:lastRow="0" w:firstColumn="0" w:lastColumn="0" w:noHBand="0" w:noVBand="0"/>
            </w:tblPr>
            <w:tblGrid>
              <w:gridCol w:w="3182"/>
            </w:tblGrid>
            <w:tr w:rsidR="0081184E" w:rsidRPr="001F0A17" w:rsidTr="000A7EE3">
              <w:trPr>
                <w:trHeight w:val="90"/>
              </w:trPr>
              <w:tc>
                <w:tcPr>
                  <w:tcW w:w="0" w:type="auto"/>
                </w:tcPr>
                <w:p w:rsidR="0081184E" w:rsidRPr="001F0A17" w:rsidRDefault="0081184E" w:rsidP="000A7EE3">
                  <w:pPr>
                    <w:pStyle w:val="Default"/>
                    <w:rPr>
                      <w:sz w:val="20"/>
                      <w:szCs w:val="20"/>
                    </w:rPr>
                  </w:pPr>
                  <w:r w:rsidRPr="001F0A17">
                    <w:rPr>
                      <w:sz w:val="20"/>
                      <w:szCs w:val="20"/>
                    </w:rPr>
                    <w:t xml:space="preserve">Az egyes adatfajták törlési határideje </w:t>
                  </w:r>
                </w:p>
              </w:tc>
            </w:tr>
          </w:tbl>
          <w:p w:rsidR="0081184E" w:rsidRPr="001F0A17" w:rsidRDefault="0081184E" w:rsidP="0081184E">
            <w:pPr>
              <w:pStyle w:val="Default"/>
              <w:rPr>
                <w:sz w:val="20"/>
                <w:szCs w:val="20"/>
              </w:rPr>
            </w:pPr>
          </w:p>
          <w:p w:rsidR="0081184E" w:rsidRPr="001F0A17" w:rsidRDefault="0081184E" w:rsidP="0081184E">
            <w:pPr>
              <w:pStyle w:val="Default"/>
              <w:jc w:val="center"/>
              <w:rPr>
                <w:b/>
                <w:bCs/>
                <w:sz w:val="20"/>
                <w:szCs w:val="20"/>
              </w:rPr>
            </w:pPr>
          </w:p>
        </w:tc>
        <w:tc>
          <w:tcPr>
            <w:tcW w:w="4606" w:type="dxa"/>
          </w:tcPr>
          <w:p w:rsidR="0081184E" w:rsidRPr="001F0A17" w:rsidRDefault="001F0A17" w:rsidP="001F0A17">
            <w:pPr>
              <w:pStyle w:val="Default"/>
              <w:jc w:val="both"/>
              <w:rPr>
                <w:sz w:val="20"/>
                <w:szCs w:val="20"/>
              </w:rPr>
            </w:pPr>
            <w:r w:rsidRPr="001F0A17">
              <w:rPr>
                <w:sz w:val="20"/>
                <w:szCs w:val="20"/>
              </w:rPr>
              <w:t>A büntetés-végrehajtási szervezet Egységes Iratkezelési Szabályzatról szóló 73/2020 (XII. 30.) BVOP utasítás alapján kerülnek irattárazásra az adatok, melyek az irattári tervnek megfelelően a kötelező megőrzési időt követően megsemmisítésre kerülnek</w:t>
            </w:r>
          </w:p>
        </w:tc>
      </w:tr>
      <w:tr w:rsidR="0081184E" w:rsidTr="004E6EAB">
        <w:tc>
          <w:tcPr>
            <w:tcW w:w="4606" w:type="dxa"/>
          </w:tcPr>
          <w:p w:rsidR="0081184E" w:rsidRPr="001F0A17" w:rsidRDefault="0081184E" w:rsidP="0081184E">
            <w:pPr>
              <w:pStyle w:val="Default"/>
              <w:rPr>
                <w:sz w:val="20"/>
                <w:szCs w:val="20"/>
              </w:rPr>
            </w:pPr>
            <w:r w:rsidRPr="001F0A17">
              <w:rPr>
                <w:sz w:val="20"/>
                <w:szCs w:val="20"/>
              </w:rPr>
              <w:t>Az adatkezelő neve és címe (székhelye), az adatvédelmi tisztviselő neve és elérhetősége</w:t>
            </w:r>
          </w:p>
        </w:tc>
        <w:tc>
          <w:tcPr>
            <w:tcW w:w="4606" w:type="dxa"/>
          </w:tcPr>
          <w:p w:rsidR="004044CE" w:rsidRPr="004044CE" w:rsidRDefault="004044CE" w:rsidP="004044CE">
            <w:pPr>
              <w:jc w:val="both"/>
              <w:rPr>
                <w:rFonts w:ascii="Times New Roman" w:hAnsi="Times New Roman"/>
                <w:sz w:val="20"/>
                <w:szCs w:val="20"/>
              </w:rPr>
            </w:pPr>
            <w:r w:rsidRPr="004044CE">
              <w:rPr>
                <w:rFonts w:ascii="Times New Roman" w:hAnsi="Times New Roman"/>
                <w:sz w:val="20"/>
                <w:szCs w:val="20"/>
              </w:rPr>
              <w:t xml:space="preserve">Büntetés-végrehajtás Egészségügyi Központ 4100 Berettyóújfalu, </w:t>
            </w:r>
            <w:proofErr w:type="spellStart"/>
            <w:r w:rsidRPr="004044CE">
              <w:rPr>
                <w:rFonts w:ascii="Times New Roman" w:hAnsi="Times New Roman"/>
                <w:sz w:val="20"/>
                <w:szCs w:val="20"/>
              </w:rPr>
              <w:t>Herpály</w:t>
            </w:r>
            <w:proofErr w:type="spellEnd"/>
            <w:r w:rsidRPr="004044CE">
              <w:rPr>
                <w:rFonts w:ascii="Times New Roman" w:hAnsi="Times New Roman"/>
                <w:sz w:val="20"/>
                <w:szCs w:val="20"/>
              </w:rPr>
              <w:t xml:space="preserve"> utca 7.; Oláhné Vékony Szilvia </w:t>
            </w:r>
            <w:proofErr w:type="spellStart"/>
            <w:r w:rsidRPr="004044CE">
              <w:rPr>
                <w:rFonts w:ascii="Times New Roman" w:hAnsi="Times New Roman"/>
                <w:sz w:val="20"/>
                <w:szCs w:val="20"/>
              </w:rPr>
              <w:t>bv</w:t>
            </w:r>
            <w:proofErr w:type="spellEnd"/>
            <w:r w:rsidRPr="004044CE">
              <w:rPr>
                <w:rFonts w:ascii="Times New Roman" w:hAnsi="Times New Roman"/>
                <w:sz w:val="20"/>
                <w:szCs w:val="20"/>
              </w:rPr>
              <w:t xml:space="preserve">. őrnagy </w:t>
            </w:r>
          </w:p>
          <w:p w:rsidR="0081184E" w:rsidRPr="001F0A17" w:rsidRDefault="004044CE" w:rsidP="004044CE">
            <w:pPr>
              <w:pStyle w:val="Default"/>
              <w:jc w:val="both"/>
              <w:rPr>
                <w:bCs/>
                <w:sz w:val="20"/>
                <w:szCs w:val="20"/>
              </w:rPr>
            </w:pPr>
            <w:r w:rsidRPr="004044CE">
              <w:rPr>
                <w:sz w:val="20"/>
                <w:szCs w:val="20"/>
              </w:rPr>
              <w:t xml:space="preserve">(54/150-2105; </w:t>
            </w:r>
            <w:proofErr w:type="spellStart"/>
            <w:r w:rsidRPr="004044CE">
              <w:rPr>
                <w:sz w:val="20"/>
                <w:szCs w:val="20"/>
              </w:rPr>
              <w:t>olahne.v.szilvia</w:t>
            </w:r>
            <w:proofErr w:type="spellEnd"/>
            <w:r w:rsidRPr="004044CE">
              <w:rPr>
                <w:sz w:val="20"/>
                <w:szCs w:val="20"/>
              </w:rPr>
              <w:t>@bv.gov.hu)</w:t>
            </w:r>
          </w:p>
        </w:tc>
      </w:tr>
      <w:tr w:rsidR="0081184E" w:rsidTr="004E6EAB">
        <w:tc>
          <w:tcPr>
            <w:tcW w:w="4606" w:type="dxa"/>
          </w:tcPr>
          <w:p w:rsidR="0081184E" w:rsidRPr="001F0A17" w:rsidRDefault="0081184E" w:rsidP="0081184E">
            <w:pPr>
              <w:pStyle w:val="Default"/>
              <w:rPr>
                <w:sz w:val="20"/>
                <w:szCs w:val="20"/>
              </w:rPr>
            </w:pPr>
            <w:r w:rsidRPr="001F0A17">
              <w:rPr>
                <w:sz w:val="20"/>
                <w:szCs w:val="20"/>
              </w:rPr>
              <w:t>A tényleges adatkezelés helye, illetve az adatfeldolgozás helye</w:t>
            </w:r>
          </w:p>
        </w:tc>
        <w:tc>
          <w:tcPr>
            <w:tcW w:w="4606" w:type="dxa"/>
          </w:tcPr>
          <w:p w:rsidR="0081184E" w:rsidRPr="001F0A17" w:rsidRDefault="007B5D57" w:rsidP="00DA5A1F">
            <w:pPr>
              <w:pStyle w:val="Default"/>
              <w:rPr>
                <w:b/>
                <w:bCs/>
                <w:sz w:val="20"/>
                <w:szCs w:val="20"/>
              </w:rPr>
            </w:pPr>
            <w:r w:rsidRPr="001F0A17">
              <w:rPr>
                <w:sz w:val="20"/>
                <w:szCs w:val="20"/>
              </w:rPr>
              <w:t>-</w:t>
            </w:r>
          </w:p>
        </w:tc>
      </w:tr>
      <w:tr w:rsidR="0081184E" w:rsidTr="004E6EAB">
        <w:tc>
          <w:tcPr>
            <w:tcW w:w="4606" w:type="dxa"/>
          </w:tcPr>
          <w:p w:rsidR="0081184E" w:rsidRPr="001F0A17" w:rsidRDefault="0081184E" w:rsidP="0081184E">
            <w:pPr>
              <w:pStyle w:val="Default"/>
              <w:rPr>
                <w:sz w:val="20"/>
                <w:szCs w:val="20"/>
              </w:rPr>
            </w:pPr>
            <w:r w:rsidRPr="001F0A17">
              <w:rPr>
                <w:sz w:val="20"/>
                <w:szCs w:val="20"/>
              </w:rPr>
              <w:t xml:space="preserve">Az adatkezelés jogszerűsége és a személyes adatok </w:t>
            </w:r>
            <w:r w:rsidRPr="001F0A17">
              <w:rPr>
                <w:sz w:val="20"/>
                <w:szCs w:val="20"/>
              </w:rPr>
              <w:lastRenderedPageBreak/>
              <w:t>megfelelő szintű biztonsága érdekében végrehajtott műszaki és szervezési biztonsági intézkedések általános leírása</w:t>
            </w:r>
          </w:p>
        </w:tc>
        <w:tc>
          <w:tcPr>
            <w:tcW w:w="4606" w:type="dxa"/>
          </w:tcPr>
          <w:p w:rsidR="0081184E" w:rsidRPr="001F0A17" w:rsidRDefault="001F0A17" w:rsidP="002C0641">
            <w:pPr>
              <w:pStyle w:val="Default"/>
              <w:jc w:val="both"/>
              <w:rPr>
                <w:sz w:val="20"/>
                <w:szCs w:val="20"/>
              </w:rPr>
            </w:pPr>
            <w:r w:rsidRPr="001F0A17">
              <w:rPr>
                <w:sz w:val="20"/>
                <w:szCs w:val="20"/>
              </w:rPr>
              <w:lastRenderedPageBreak/>
              <w:t xml:space="preserve">A büntetés-végrehajtási szervezet Adatvédelmi és </w:t>
            </w:r>
            <w:r w:rsidRPr="001F0A17">
              <w:rPr>
                <w:sz w:val="20"/>
                <w:szCs w:val="20"/>
              </w:rPr>
              <w:lastRenderedPageBreak/>
              <w:t>Adatbiztonsági Szabályzatában, Egységes Iratkezelési Szabályzatában valamint Informatikai Biztonsági Szabályzatában foglalt intézkedések, valamint intézetparancsnoki intézkedések</w:t>
            </w:r>
          </w:p>
        </w:tc>
      </w:tr>
    </w:tbl>
    <w:p w:rsidR="00BC4E28" w:rsidRDefault="00BC4E28" w:rsidP="00BC4E28">
      <w:pPr>
        <w:pStyle w:val="Default"/>
        <w:jc w:val="both"/>
        <w:rPr>
          <w:color w:val="auto"/>
          <w:sz w:val="23"/>
          <w:szCs w:val="23"/>
        </w:rPr>
      </w:pPr>
    </w:p>
    <w:p w:rsidR="00BC4E28" w:rsidRDefault="00BC4E28" w:rsidP="00BC4E28">
      <w:pPr>
        <w:pStyle w:val="Default"/>
        <w:jc w:val="both"/>
        <w:rPr>
          <w:color w:val="auto"/>
          <w:sz w:val="23"/>
          <w:szCs w:val="23"/>
        </w:rPr>
      </w:pPr>
    </w:p>
    <w:p w:rsidR="00BC4E28" w:rsidRDefault="00BC4E28" w:rsidP="00BC4E28">
      <w:pPr>
        <w:pStyle w:val="Default"/>
        <w:jc w:val="both"/>
        <w:rPr>
          <w:sz w:val="23"/>
          <w:szCs w:val="23"/>
        </w:rPr>
      </w:pPr>
      <w:r>
        <w:rPr>
          <w:sz w:val="23"/>
          <w:szCs w:val="23"/>
        </w:rPr>
        <w:t xml:space="preserve">Az adatkezelő az érintett személyek személyes adatait eltérő célra nem használja fel. </w:t>
      </w:r>
    </w:p>
    <w:p w:rsidR="00BC4E28" w:rsidRDefault="00BC4E28" w:rsidP="00BC4E28">
      <w:pPr>
        <w:pStyle w:val="Default"/>
        <w:jc w:val="both"/>
        <w:rPr>
          <w:sz w:val="23"/>
          <w:szCs w:val="23"/>
        </w:rPr>
      </w:pPr>
    </w:p>
    <w:p w:rsidR="00BC4E28" w:rsidRDefault="00BC4E28" w:rsidP="00BC4E28">
      <w:pPr>
        <w:pStyle w:val="Default"/>
        <w:jc w:val="both"/>
        <w:rPr>
          <w:sz w:val="23"/>
          <w:szCs w:val="23"/>
        </w:rPr>
      </w:pPr>
      <w:r>
        <w:rPr>
          <w:sz w:val="23"/>
          <w:szCs w:val="23"/>
        </w:rPr>
        <w:t xml:space="preserve">Az adatkezeléssel kapcsolatos jogok és jogorvoslati lehetőségek </w:t>
      </w:r>
    </w:p>
    <w:p w:rsidR="00BC4E28" w:rsidRDefault="00BC4E28" w:rsidP="00BC4E28">
      <w:pPr>
        <w:pStyle w:val="Default"/>
        <w:jc w:val="both"/>
        <w:rPr>
          <w:sz w:val="23"/>
          <w:szCs w:val="23"/>
        </w:rPr>
      </w:pPr>
    </w:p>
    <w:p w:rsidR="00BC4E28" w:rsidRDefault="00BC4E28" w:rsidP="00BC4E28">
      <w:pPr>
        <w:pStyle w:val="Default"/>
        <w:jc w:val="both"/>
        <w:rPr>
          <w:sz w:val="23"/>
          <w:szCs w:val="23"/>
        </w:rPr>
      </w:pPr>
      <w:r>
        <w:rPr>
          <w:sz w:val="23"/>
          <w:szCs w:val="23"/>
        </w:rPr>
        <w:t xml:space="preserve">A GDPR 15-18. cikkében foglaltaknak megfelelően az adatkezeléssel összefüggésben az adatkezelő adatvédelmi tisztviselőjén keresztül jogosult: </w:t>
      </w:r>
    </w:p>
    <w:p w:rsidR="00BC4E28" w:rsidRDefault="00BC4E28" w:rsidP="00BC4E28">
      <w:pPr>
        <w:pStyle w:val="Default"/>
        <w:jc w:val="both"/>
        <w:rPr>
          <w:sz w:val="23"/>
          <w:szCs w:val="23"/>
        </w:rPr>
      </w:pPr>
      <w:r>
        <w:rPr>
          <w:sz w:val="23"/>
          <w:szCs w:val="23"/>
        </w:rPr>
        <w:t xml:space="preserve">– a hozzáférési jog érvényesülése érdekében tájékoztatást kérni személyes adatai kezeléséről, valamint kérni a kezelt személyes adatok rendelkezésre bocsátását, </w:t>
      </w:r>
    </w:p>
    <w:p w:rsidR="00BC4E28" w:rsidRDefault="00BC4E28" w:rsidP="00BC4E28">
      <w:pPr>
        <w:pStyle w:val="Default"/>
        <w:jc w:val="both"/>
        <w:rPr>
          <w:sz w:val="20"/>
          <w:szCs w:val="20"/>
        </w:rPr>
      </w:pPr>
      <w:r>
        <w:rPr>
          <w:sz w:val="23"/>
          <w:szCs w:val="23"/>
        </w:rPr>
        <w:t xml:space="preserve">– a helyesbítéshez való jog érvényesülése érdekében pontatlan adatok esetén helyesbítést vagy a hiányos adatok kiegészítését kérni, </w:t>
      </w:r>
      <w:r>
        <w:rPr>
          <w:sz w:val="20"/>
          <w:szCs w:val="20"/>
        </w:rPr>
        <w:t>2</w:t>
      </w:r>
    </w:p>
    <w:p w:rsidR="00BC4E28" w:rsidRDefault="00BC4E28" w:rsidP="00BC4E28">
      <w:pPr>
        <w:pStyle w:val="Default"/>
        <w:jc w:val="both"/>
        <w:rPr>
          <w:color w:val="auto"/>
          <w:sz w:val="23"/>
          <w:szCs w:val="23"/>
        </w:rPr>
      </w:pPr>
      <w:proofErr w:type="spellStart"/>
      <w:r>
        <w:rPr>
          <w:color w:val="auto"/>
          <w:sz w:val="23"/>
          <w:szCs w:val="23"/>
        </w:rPr>
        <w:t>-a</w:t>
      </w:r>
      <w:proofErr w:type="spellEnd"/>
      <w:r>
        <w:rPr>
          <w:color w:val="auto"/>
          <w:sz w:val="23"/>
          <w:szCs w:val="23"/>
        </w:rPr>
        <w:t xml:space="preserve"> törléshez való jog érvényesülése érdekében kérni a hozzájárulás alapján kezelt adatok törlését </w:t>
      </w:r>
    </w:p>
    <w:p w:rsidR="00BC4E28" w:rsidRDefault="00BC4E28" w:rsidP="00BC4E28">
      <w:pPr>
        <w:pStyle w:val="Default"/>
        <w:jc w:val="both"/>
        <w:rPr>
          <w:color w:val="auto"/>
          <w:sz w:val="23"/>
          <w:szCs w:val="23"/>
        </w:rPr>
      </w:pPr>
      <w:proofErr w:type="spellStart"/>
      <w:r>
        <w:rPr>
          <w:color w:val="auto"/>
          <w:sz w:val="23"/>
          <w:szCs w:val="23"/>
        </w:rPr>
        <w:t>-a</w:t>
      </w:r>
      <w:proofErr w:type="spellEnd"/>
      <w:r>
        <w:rPr>
          <w:color w:val="auto"/>
          <w:sz w:val="23"/>
          <w:szCs w:val="23"/>
        </w:rPr>
        <w:t xml:space="preserve"> tiltakozáshoz való jog érvényesülése érdekében az adatkezelőre ruházott közhatalmi jogosítvány gyakorlásának keretében végzett feladata végrehajtásához szükséges, továbbá a jogos érdeken alapuló adatkezelés esetén adatai kezelése ellen tiltakozni, </w:t>
      </w:r>
    </w:p>
    <w:p w:rsidR="00BC4E28" w:rsidRDefault="00BC4E28" w:rsidP="00BC4E28">
      <w:pPr>
        <w:pStyle w:val="Default"/>
        <w:jc w:val="both"/>
        <w:rPr>
          <w:color w:val="auto"/>
          <w:sz w:val="23"/>
          <w:szCs w:val="23"/>
        </w:rPr>
      </w:pPr>
      <w:r>
        <w:rPr>
          <w:color w:val="auto"/>
          <w:sz w:val="23"/>
          <w:szCs w:val="23"/>
        </w:rPr>
        <w:t xml:space="preserve">– az adatkezelés korlátozásához való jog érvényesülése érdekében kérni az adatkezelés korlátozását. </w:t>
      </w:r>
    </w:p>
    <w:p w:rsidR="00BC4E28" w:rsidRDefault="00BC4E28" w:rsidP="00BC4E28">
      <w:pPr>
        <w:pStyle w:val="Default"/>
        <w:jc w:val="both"/>
        <w:rPr>
          <w:color w:val="auto"/>
          <w:sz w:val="23"/>
          <w:szCs w:val="23"/>
        </w:rPr>
      </w:pPr>
    </w:p>
    <w:p w:rsidR="00BC4E28" w:rsidRDefault="00BC4E28" w:rsidP="00BC4E28">
      <w:pPr>
        <w:pStyle w:val="Default"/>
        <w:jc w:val="both"/>
        <w:rPr>
          <w:color w:val="auto"/>
          <w:sz w:val="23"/>
          <w:szCs w:val="23"/>
        </w:rPr>
      </w:pPr>
      <w:r>
        <w:rPr>
          <w:color w:val="auto"/>
          <w:sz w:val="23"/>
          <w:szCs w:val="23"/>
        </w:rPr>
        <w:t xml:space="preserve">Hozzájáruláson alapuló adatkezelés esetén jogosult a hozzájárulás bármely időpontban történő visszavonásához, mely nem érinti a visszavonás előtt a hozzájárulás alapján végrehajtott adatkezelés jogszerűségét. </w:t>
      </w:r>
    </w:p>
    <w:p w:rsidR="00BC4E28" w:rsidRDefault="00BC4E28" w:rsidP="00BC4E28">
      <w:pPr>
        <w:pStyle w:val="Default"/>
        <w:jc w:val="both"/>
        <w:rPr>
          <w:color w:val="auto"/>
          <w:sz w:val="23"/>
          <w:szCs w:val="23"/>
        </w:rPr>
      </w:pPr>
    </w:p>
    <w:p w:rsidR="00BC4E28" w:rsidRDefault="00BC4E28" w:rsidP="00BC4E28">
      <w:pPr>
        <w:pStyle w:val="Default"/>
        <w:jc w:val="both"/>
        <w:rPr>
          <w:color w:val="auto"/>
          <w:sz w:val="23"/>
          <w:szCs w:val="23"/>
        </w:rPr>
      </w:pPr>
      <w:r>
        <w:rPr>
          <w:color w:val="auto"/>
          <w:sz w:val="23"/>
          <w:szCs w:val="23"/>
        </w:rPr>
        <w:t xml:space="preserve">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 </w:t>
      </w:r>
    </w:p>
    <w:p w:rsidR="00BC4E28" w:rsidRDefault="00BC4E28" w:rsidP="00BC4E28">
      <w:pPr>
        <w:pStyle w:val="Default"/>
        <w:jc w:val="both"/>
        <w:rPr>
          <w:color w:val="auto"/>
          <w:sz w:val="23"/>
          <w:szCs w:val="23"/>
        </w:rPr>
      </w:pPr>
      <w:r>
        <w:rPr>
          <w:color w:val="auto"/>
          <w:sz w:val="23"/>
          <w:szCs w:val="23"/>
        </w:rPr>
        <w:t xml:space="preserve">– az adatkezelés céljáról, </w:t>
      </w:r>
    </w:p>
    <w:p w:rsidR="00BC4E28" w:rsidRDefault="00BC4E28" w:rsidP="00BC4E28">
      <w:pPr>
        <w:pStyle w:val="Default"/>
        <w:jc w:val="both"/>
        <w:rPr>
          <w:color w:val="auto"/>
          <w:sz w:val="23"/>
          <w:szCs w:val="23"/>
        </w:rPr>
      </w:pPr>
      <w:r>
        <w:rPr>
          <w:color w:val="auto"/>
          <w:sz w:val="23"/>
          <w:szCs w:val="23"/>
        </w:rPr>
        <w:t xml:space="preserve">– az adatkezelés jogalapjáról, </w:t>
      </w:r>
    </w:p>
    <w:p w:rsidR="00BC4E28" w:rsidRDefault="00BC4E28" w:rsidP="00BC4E28">
      <w:pPr>
        <w:pStyle w:val="Default"/>
        <w:jc w:val="both"/>
        <w:rPr>
          <w:color w:val="auto"/>
          <w:sz w:val="23"/>
          <w:szCs w:val="23"/>
        </w:rPr>
      </w:pPr>
      <w:r>
        <w:rPr>
          <w:color w:val="auto"/>
          <w:sz w:val="23"/>
          <w:szCs w:val="23"/>
        </w:rPr>
        <w:t xml:space="preserve">– az adatkezelés időtartamáról, </w:t>
      </w:r>
    </w:p>
    <w:p w:rsidR="00BC4E28" w:rsidRDefault="00BC4E28" w:rsidP="00BC4E28">
      <w:pPr>
        <w:pStyle w:val="Default"/>
        <w:jc w:val="both"/>
        <w:rPr>
          <w:color w:val="auto"/>
          <w:sz w:val="23"/>
          <w:szCs w:val="23"/>
        </w:rPr>
      </w:pPr>
      <w:r>
        <w:rPr>
          <w:color w:val="auto"/>
          <w:sz w:val="23"/>
          <w:szCs w:val="23"/>
        </w:rPr>
        <w:t xml:space="preserve">– a kezelt adatok köréről, amelyek másolatát kérelemre az érintett rendelkezésére bocsátja, </w:t>
      </w:r>
    </w:p>
    <w:p w:rsidR="00BC4E28" w:rsidRDefault="00BC4E28" w:rsidP="00BC4E28">
      <w:pPr>
        <w:pStyle w:val="Default"/>
        <w:jc w:val="both"/>
        <w:rPr>
          <w:color w:val="auto"/>
          <w:sz w:val="23"/>
          <w:szCs w:val="23"/>
        </w:rPr>
      </w:pPr>
      <w:r>
        <w:rPr>
          <w:color w:val="auto"/>
          <w:sz w:val="23"/>
          <w:szCs w:val="23"/>
        </w:rPr>
        <w:t xml:space="preserve">– a személyes adatok címzettjeiről, illetve a címzettek kategóriáiról, </w:t>
      </w:r>
    </w:p>
    <w:p w:rsidR="00BC4E28" w:rsidRDefault="00BC4E28" w:rsidP="00BC4E28">
      <w:pPr>
        <w:pStyle w:val="Default"/>
        <w:jc w:val="both"/>
        <w:rPr>
          <w:color w:val="auto"/>
          <w:sz w:val="23"/>
          <w:szCs w:val="23"/>
        </w:rPr>
      </w:pPr>
      <w:r>
        <w:rPr>
          <w:color w:val="auto"/>
          <w:sz w:val="23"/>
          <w:szCs w:val="23"/>
        </w:rPr>
        <w:t xml:space="preserve">– harmadik országba vagy nemzetközi szervezet részére történő továbbításról, </w:t>
      </w:r>
    </w:p>
    <w:p w:rsidR="00BC4E28" w:rsidRDefault="00BC4E28" w:rsidP="00BC4E28">
      <w:pPr>
        <w:pStyle w:val="Default"/>
        <w:jc w:val="both"/>
        <w:rPr>
          <w:color w:val="auto"/>
          <w:sz w:val="23"/>
          <w:szCs w:val="23"/>
        </w:rPr>
      </w:pPr>
      <w:r>
        <w:rPr>
          <w:color w:val="auto"/>
          <w:sz w:val="23"/>
          <w:szCs w:val="23"/>
        </w:rPr>
        <w:t xml:space="preserve">– az adatok forrásáról, amennyiben azokat nem az érintettől gyűjtötte, </w:t>
      </w:r>
    </w:p>
    <w:p w:rsidR="00BC4E28" w:rsidRDefault="00BC4E28" w:rsidP="00BC4E28">
      <w:pPr>
        <w:pStyle w:val="Default"/>
        <w:jc w:val="both"/>
        <w:rPr>
          <w:color w:val="auto"/>
          <w:sz w:val="23"/>
          <w:szCs w:val="23"/>
        </w:rPr>
      </w:pPr>
      <w:r>
        <w:rPr>
          <w:color w:val="auto"/>
          <w:sz w:val="23"/>
          <w:szCs w:val="23"/>
        </w:rPr>
        <w:t xml:space="preserve">– az automatizált döntéshozatal jellemzőiről, ha ilyet alkalmaz az adatkezelő, </w:t>
      </w:r>
    </w:p>
    <w:p w:rsidR="00BC4E28" w:rsidRDefault="00BC4E28" w:rsidP="00BC4E28">
      <w:pPr>
        <w:pStyle w:val="Default"/>
        <w:jc w:val="both"/>
        <w:rPr>
          <w:color w:val="auto"/>
          <w:sz w:val="23"/>
          <w:szCs w:val="23"/>
        </w:rPr>
      </w:pPr>
      <w:r>
        <w:rPr>
          <w:color w:val="auto"/>
          <w:sz w:val="23"/>
          <w:szCs w:val="23"/>
        </w:rPr>
        <w:t xml:space="preserve">– az adatkezeléssel kapcsolatos </w:t>
      </w:r>
      <w:proofErr w:type="spellStart"/>
      <w:r>
        <w:rPr>
          <w:color w:val="auto"/>
          <w:sz w:val="23"/>
          <w:szCs w:val="23"/>
        </w:rPr>
        <w:t>érintetti</w:t>
      </w:r>
      <w:proofErr w:type="spellEnd"/>
      <w:r>
        <w:rPr>
          <w:color w:val="auto"/>
          <w:sz w:val="23"/>
          <w:szCs w:val="23"/>
        </w:rPr>
        <w:t xml:space="preserve"> jogairól, </w:t>
      </w:r>
    </w:p>
    <w:p w:rsidR="00BC4E28" w:rsidRDefault="00BC4E28" w:rsidP="00BC4E28">
      <w:pPr>
        <w:pStyle w:val="Default"/>
        <w:jc w:val="both"/>
        <w:rPr>
          <w:color w:val="auto"/>
          <w:sz w:val="23"/>
          <w:szCs w:val="23"/>
        </w:rPr>
      </w:pPr>
      <w:r>
        <w:rPr>
          <w:color w:val="auto"/>
          <w:sz w:val="23"/>
          <w:szCs w:val="23"/>
        </w:rPr>
        <w:t xml:space="preserve">– jogorvoslati lehetőségeiről. </w:t>
      </w:r>
    </w:p>
    <w:p w:rsidR="00BC4E28" w:rsidRDefault="00BC4E28" w:rsidP="00BC4E28">
      <w:pPr>
        <w:pStyle w:val="Default"/>
        <w:jc w:val="both"/>
        <w:rPr>
          <w:color w:val="auto"/>
          <w:sz w:val="23"/>
          <w:szCs w:val="23"/>
        </w:rPr>
      </w:pPr>
    </w:p>
    <w:p w:rsidR="00BC4E28" w:rsidRDefault="00BC4E28" w:rsidP="00BC4E28">
      <w:pPr>
        <w:pStyle w:val="Default"/>
        <w:jc w:val="both"/>
        <w:rPr>
          <w:color w:val="auto"/>
          <w:sz w:val="23"/>
          <w:szCs w:val="23"/>
        </w:rPr>
      </w:pPr>
      <w:r>
        <w:rPr>
          <w:color w:val="auto"/>
          <w:sz w:val="23"/>
          <w:szCs w:val="23"/>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tájékoztatás nyújtásával vagy a kért intézkedés meghozatalával járó adminisztratív költségekre ésszerű összegű díj számítható fel vagy a kérelem alapján történő intézkedés megtagadható. </w:t>
      </w:r>
    </w:p>
    <w:p w:rsidR="00BC4E28" w:rsidRDefault="00BC4E28" w:rsidP="00BC4E28">
      <w:pPr>
        <w:pStyle w:val="Default"/>
        <w:jc w:val="both"/>
        <w:rPr>
          <w:color w:val="auto"/>
          <w:sz w:val="23"/>
          <w:szCs w:val="23"/>
        </w:rPr>
      </w:pPr>
      <w:r>
        <w:rPr>
          <w:color w:val="auto"/>
          <w:sz w:val="23"/>
          <w:szCs w:val="23"/>
        </w:rPr>
        <w:t xml:space="preserve">Egyes esetekben törvényi rendelkezések alapján a tájékoztatást az adatkezelő megtagadhatja, ekkor a válaszban minden esetben megjelölésre kerül, hogy mely törvényi rendelkezés alapján került megtagadásra a tájékoztatás, és az érintett milyen jogorvoslati lehetőséget vehet igénybe. </w:t>
      </w:r>
    </w:p>
    <w:p w:rsidR="00BC4E28" w:rsidRDefault="00BC4E28" w:rsidP="00BC4E28">
      <w:pPr>
        <w:pStyle w:val="Default"/>
        <w:jc w:val="both"/>
        <w:rPr>
          <w:color w:val="auto"/>
          <w:sz w:val="23"/>
          <w:szCs w:val="23"/>
        </w:rPr>
      </w:pPr>
      <w:r>
        <w:rPr>
          <w:color w:val="auto"/>
          <w:sz w:val="23"/>
          <w:szCs w:val="23"/>
        </w:rPr>
        <w:t xml:space="preserve">Az adat helyesbítésének (módosításának) kérése esetén a módosítani kért adat valóságát az érintettnek alá kell támasztania, és igazolnia kell azt is, hogy valóban az arra jogosult </w:t>
      </w:r>
      <w:proofErr w:type="spellStart"/>
      <w:r>
        <w:rPr>
          <w:color w:val="auto"/>
          <w:sz w:val="23"/>
          <w:szCs w:val="23"/>
        </w:rPr>
        <w:t>sze</w:t>
      </w:r>
      <w:proofErr w:type="spellEnd"/>
      <w:r>
        <w:rPr>
          <w:color w:val="auto"/>
          <w:sz w:val="23"/>
          <w:szCs w:val="23"/>
        </w:rPr>
        <w:t xml:space="preserve"> mély kéri az adat módosítását. </w:t>
      </w:r>
    </w:p>
    <w:p w:rsidR="00BC4E28" w:rsidRDefault="00BC4E28" w:rsidP="00BC4E28">
      <w:pPr>
        <w:pStyle w:val="Default"/>
        <w:jc w:val="both"/>
        <w:rPr>
          <w:color w:val="auto"/>
          <w:sz w:val="23"/>
          <w:szCs w:val="23"/>
        </w:rPr>
      </w:pPr>
      <w:r>
        <w:rPr>
          <w:color w:val="auto"/>
          <w:sz w:val="23"/>
          <w:szCs w:val="23"/>
        </w:rPr>
        <w:t xml:space="preserve">Az adat törlésének, zárolásának kérése esetén az érintett kérheti adatainak törlését, amely alapján az adatkezelő köteles arra, hogy az érintettre vonatkozó adatokat indokolatlan késedelem nélkül törölje, ha: </w:t>
      </w:r>
    </w:p>
    <w:p w:rsidR="00BC4E28" w:rsidRDefault="00BC4E28" w:rsidP="00BC4E28">
      <w:pPr>
        <w:pStyle w:val="Default"/>
        <w:jc w:val="both"/>
        <w:rPr>
          <w:color w:val="auto"/>
          <w:sz w:val="23"/>
          <w:szCs w:val="23"/>
        </w:rPr>
      </w:pPr>
      <w:r>
        <w:rPr>
          <w:color w:val="auto"/>
          <w:sz w:val="23"/>
          <w:szCs w:val="23"/>
        </w:rPr>
        <w:t xml:space="preserve">– a személyes adatokra már nincs szükség abból a célból, amiért kezelték, </w:t>
      </w:r>
    </w:p>
    <w:p w:rsidR="00BC4E28" w:rsidRDefault="00BC4E28" w:rsidP="00BC4E28">
      <w:pPr>
        <w:pStyle w:val="Default"/>
        <w:jc w:val="both"/>
        <w:rPr>
          <w:color w:val="auto"/>
          <w:sz w:val="23"/>
          <w:szCs w:val="23"/>
        </w:rPr>
      </w:pPr>
      <w:r>
        <w:rPr>
          <w:color w:val="auto"/>
          <w:sz w:val="23"/>
          <w:szCs w:val="23"/>
        </w:rPr>
        <w:t xml:space="preserve">– ha az érintett hozzájárulásán alapult az adatok kezelése és azt visszavonta, és más jogalap az adatok további kezelését nem teszi jogszerűvé, </w:t>
      </w:r>
    </w:p>
    <w:p w:rsidR="00BC4E28" w:rsidRPr="00E23CE8" w:rsidRDefault="00BC4E28" w:rsidP="00BC4E28">
      <w:pPr>
        <w:pStyle w:val="Default"/>
        <w:jc w:val="both"/>
        <w:rPr>
          <w:color w:val="auto"/>
          <w:sz w:val="20"/>
          <w:szCs w:val="20"/>
        </w:rPr>
      </w:pPr>
      <w:r>
        <w:rPr>
          <w:color w:val="auto"/>
          <w:sz w:val="23"/>
          <w:szCs w:val="23"/>
        </w:rPr>
        <w:lastRenderedPageBreak/>
        <w:t xml:space="preserve">– az érintett tiltakozik az adatkezelés ellen, </w:t>
      </w:r>
      <w:r>
        <w:rPr>
          <w:color w:val="auto"/>
          <w:sz w:val="20"/>
          <w:szCs w:val="20"/>
        </w:rPr>
        <w:t xml:space="preserve">3 </w:t>
      </w:r>
    </w:p>
    <w:p w:rsidR="00E23CE8" w:rsidRDefault="00E23CE8" w:rsidP="00E23CE8">
      <w:pPr>
        <w:pStyle w:val="Default"/>
        <w:jc w:val="both"/>
        <w:rPr>
          <w:color w:val="auto"/>
          <w:sz w:val="23"/>
          <w:szCs w:val="23"/>
        </w:rPr>
      </w:pPr>
      <w:r>
        <w:rPr>
          <w:color w:val="auto"/>
          <w:sz w:val="23"/>
          <w:szCs w:val="23"/>
        </w:rPr>
        <w:t xml:space="preserve">a személyes adatokat az adatkezelőre alkalmazandó jogszabályban előírt jogi kötelezettség teljesítéséhez törölni kell. </w:t>
      </w:r>
    </w:p>
    <w:p w:rsidR="00E23CE8" w:rsidRDefault="00E23CE8" w:rsidP="00E23CE8">
      <w:pPr>
        <w:pStyle w:val="Default"/>
        <w:jc w:val="both"/>
        <w:rPr>
          <w:color w:val="auto"/>
          <w:sz w:val="23"/>
          <w:szCs w:val="23"/>
        </w:rPr>
      </w:pPr>
      <w:r>
        <w:rPr>
          <w:color w:val="auto"/>
          <w:sz w:val="23"/>
          <w:szCs w:val="23"/>
        </w:rPr>
        <w:t xml:space="preserve">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 </w:t>
      </w:r>
    </w:p>
    <w:p w:rsidR="00BC4E28" w:rsidRDefault="00BC4E28" w:rsidP="00E23CE8">
      <w:pPr>
        <w:pStyle w:val="Default"/>
        <w:jc w:val="both"/>
        <w:rPr>
          <w:color w:val="auto"/>
          <w:sz w:val="23"/>
          <w:szCs w:val="23"/>
        </w:rPr>
      </w:pPr>
    </w:p>
    <w:p w:rsidR="00E23CE8" w:rsidRDefault="00E23CE8" w:rsidP="00E23CE8">
      <w:pPr>
        <w:pStyle w:val="Default"/>
        <w:jc w:val="both"/>
        <w:rPr>
          <w:color w:val="auto"/>
          <w:sz w:val="23"/>
          <w:szCs w:val="23"/>
        </w:rPr>
      </w:pPr>
      <w:r>
        <w:rPr>
          <w:color w:val="auto"/>
          <w:sz w:val="23"/>
          <w:szCs w:val="23"/>
        </w:rPr>
        <w:t xml:space="preserve">Az adatkezelés korlátozására abban az esetben van lehetőség, amennyiben </w:t>
      </w:r>
    </w:p>
    <w:p w:rsidR="00E23CE8" w:rsidRDefault="00E23CE8" w:rsidP="00E23CE8">
      <w:pPr>
        <w:pStyle w:val="Default"/>
        <w:jc w:val="both"/>
        <w:rPr>
          <w:color w:val="auto"/>
          <w:sz w:val="23"/>
          <w:szCs w:val="23"/>
        </w:rPr>
      </w:pPr>
      <w:r>
        <w:rPr>
          <w:color w:val="auto"/>
          <w:sz w:val="23"/>
          <w:szCs w:val="23"/>
        </w:rPr>
        <w:t xml:space="preserve">– az érintett vitatja a személyes adatok pontosságát, ez esetben a korlátozás arra az időtartamra vonatkozik, amely lehetővé teszi, hogy az adatkezelő ellenőrizze a személyes adatok pontosságát, </w:t>
      </w:r>
    </w:p>
    <w:p w:rsidR="00E23CE8" w:rsidRDefault="00E23CE8" w:rsidP="00E23CE8">
      <w:pPr>
        <w:pStyle w:val="Default"/>
        <w:jc w:val="both"/>
        <w:rPr>
          <w:color w:val="auto"/>
          <w:sz w:val="23"/>
          <w:szCs w:val="23"/>
        </w:rPr>
      </w:pPr>
      <w:r>
        <w:rPr>
          <w:color w:val="auto"/>
          <w:sz w:val="23"/>
          <w:szCs w:val="23"/>
        </w:rPr>
        <w:t xml:space="preserve">– az adatkezelés jogellenes, és az érintett ellenzi az adatok törlését, és e helyett kéri azok felhasználásának korlátozását, </w:t>
      </w:r>
    </w:p>
    <w:p w:rsidR="00E23CE8" w:rsidRDefault="00E23CE8" w:rsidP="00E23CE8">
      <w:pPr>
        <w:pStyle w:val="Default"/>
        <w:jc w:val="both"/>
        <w:rPr>
          <w:color w:val="auto"/>
          <w:sz w:val="23"/>
          <w:szCs w:val="23"/>
        </w:rPr>
      </w:pPr>
      <w:r>
        <w:rPr>
          <w:color w:val="auto"/>
          <w:sz w:val="23"/>
          <w:szCs w:val="23"/>
        </w:rPr>
        <w:t xml:space="preserve">– az adatkezelőnek már nincs szüksége a személyes adatokra adatkezelés céljából, de az érintett igényli azokat jogi igények előterjesztéséhez, érvényesítéséhez vagy védelméhez, </w:t>
      </w:r>
    </w:p>
    <w:p w:rsidR="00E23CE8" w:rsidRDefault="00E23CE8" w:rsidP="00E23CE8">
      <w:pPr>
        <w:pStyle w:val="Default"/>
        <w:jc w:val="both"/>
        <w:rPr>
          <w:color w:val="auto"/>
          <w:sz w:val="23"/>
          <w:szCs w:val="23"/>
        </w:rPr>
      </w:pPr>
      <w:r>
        <w:rPr>
          <w:color w:val="auto"/>
          <w:sz w:val="23"/>
          <w:szCs w:val="23"/>
        </w:rPr>
        <w:t xml:space="preserve">– az érintett tiltakozott az adatkezelés ellen; ez esetben a korlátozás arra az időtartamra vonatkozik, amíg megállapításra nem kerül, hogy az adatkezelő jogos indokai elsőbbséget élveznek-e az érintett jogos indokaival szemben. </w:t>
      </w:r>
    </w:p>
    <w:p w:rsidR="00BC4E28" w:rsidRDefault="00BC4E28" w:rsidP="00E23CE8">
      <w:pPr>
        <w:pStyle w:val="Default"/>
        <w:jc w:val="both"/>
        <w:rPr>
          <w:color w:val="auto"/>
          <w:sz w:val="23"/>
          <w:szCs w:val="23"/>
        </w:rPr>
      </w:pPr>
    </w:p>
    <w:p w:rsidR="00E23CE8" w:rsidRDefault="00E23CE8" w:rsidP="00E23CE8">
      <w:pPr>
        <w:pStyle w:val="Default"/>
        <w:jc w:val="both"/>
        <w:rPr>
          <w:color w:val="auto"/>
          <w:sz w:val="23"/>
          <w:szCs w:val="23"/>
        </w:rPr>
      </w:pPr>
      <w:r>
        <w:rPr>
          <w:color w:val="auto"/>
          <w:sz w:val="23"/>
          <w:szCs w:val="23"/>
        </w:rPr>
        <w:t xml:space="preserve">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w:t>
      </w:r>
    </w:p>
    <w:p w:rsidR="00BC4E28" w:rsidRDefault="00BC4E28" w:rsidP="00E23CE8">
      <w:pPr>
        <w:pStyle w:val="Default"/>
        <w:jc w:val="both"/>
        <w:rPr>
          <w:color w:val="auto"/>
          <w:sz w:val="23"/>
          <w:szCs w:val="23"/>
        </w:rPr>
      </w:pPr>
    </w:p>
    <w:p w:rsidR="00E23CE8" w:rsidRDefault="00E23CE8" w:rsidP="00E23CE8">
      <w:pPr>
        <w:pStyle w:val="Default"/>
        <w:jc w:val="both"/>
        <w:rPr>
          <w:color w:val="auto"/>
          <w:sz w:val="23"/>
          <w:szCs w:val="23"/>
        </w:rPr>
      </w:pPr>
      <w:r>
        <w:rPr>
          <w:color w:val="auto"/>
          <w:sz w:val="23"/>
          <w:szCs w:val="23"/>
        </w:rPr>
        <w:t xml:space="preserve">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w:t>
      </w:r>
    </w:p>
    <w:p w:rsidR="00BC4E28" w:rsidRDefault="00BC4E28" w:rsidP="00E23CE8">
      <w:pPr>
        <w:pStyle w:val="Default"/>
        <w:jc w:val="both"/>
        <w:rPr>
          <w:color w:val="auto"/>
          <w:sz w:val="23"/>
          <w:szCs w:val="23"/>
        </w:rPr>
      </w:pPr>
    </w:p>
    <w:p w:rsidR="00E23CE8" w:rsidRDefault="00E23CE8" w:rsidP="00E23CE8">
      <w:pPr>
        <w:pStyle w:val="Default"/>
        <w:jc w:val="both"/>
        <w:rPr>
          <w:color w:val="auto"/>
          <w:sz w:val="23"/>
          <w:szCs w:val="23"/>
        </w:rPr>
      </w:pPr>
      <w:r>
        <w:rPr>
          <w:color w:val="auto"/>
          <w:sz w:val="23"/>
          <w:szCs w:val="23"/>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w:t>
      </w:r>
      <w:r w:rsidR="00CA1D5B">
        <w:rPr>
          <w:sz w:val="23"/>
          <w:szCs w:val="23"/>
        </w:rPr>
        <w:t xml:space="preserve">1055 Budapest, Falk Miksa utca 9-11, levelezési cím: </w:t>
      </w:r>
      <w:r w:rsidR="00C85BE6">
        <w:rPr>
          <w:sz w:val="23"/>
          <w:szCs w:val="23"/>
        </w:rPr>
        <w:t xml:space="preserve">1363. Budapest  </w:t>
      </w:r>
      <w:proofErr w:type="spellStart"/>
      <w:r w:rsidR="00C85BE6">
        <w:rPr>
          <w:sz w:val="23"/>
          <w:szCs w:val="23"/>
        </w:rPr>
        <w:t>Pf</w:t>
      </w:r>
      <w:proofErr w:type="spellEnd"/>
      <w:r w:rsidR="00C85BE6">
        <w:rPr>
          <w:sz w:val="23"/>
          <w:szCs w:val="23"/>
        </w:rPr>
        <w:t xml:space="preserve"> 9.   </w:t>
      </w:r>
      <w:r>
        <w:rPr>
          <w:color w:val="auto"/>
          <w:sz w:val="23"/>
          <w:szCs w:val="23"/>
        </w:rPr>
        <w:t xml:space="preserve">telefon: 06/1/391-1400, e-mail: </w:t>
      </w:r>
      <w:proofErr w:type="spellStart"/>
      <w:r>
        <w:rPr>
          <w:color w:val="auto"/>
          <w:sz w:val="23"/>
          <w:szCs w:val="23"/>
        </w:rPr>
        <w:t>ugyfelszolgalat</w:t>
      </w:r>
      <w:proofErr w:type="spellEnd"/>
      <w:r>
        <w:rPr>
          <w:color w:val="auto"/>
          <w:sz w:val="23"/>
          <w:szCs w:val="23"/>
        </w:rPr>
        <w:t xml:space="preserve">@naih.hu). </w:t>
      </w:r>
    </w:p>
    <w:p w:rsidR="00BC4E28" w:rsidRDefault="00BC4E28" w:rsidP="00E23CE8">
      <w:pPr>
        <w:pStyle w:val="Default"/>
        <w:jc w:val="both"/>
        <w:rPr>
          <w:color w:val="auto"/>
          <w:sz w:val="23"/>
          <w:szCs w:val="23"/>
        </w:rPr>
      </w:pPr>
    </w:p>
    <w:p w:rsidR="004E6EAB" w:rsidRDefault="00E23CE8" w:rsidP="00E23CE8">
      <w:pPr>
        <w:pStyle w:val="Default"/>
        <w:jc w:val="both"/>
        <w:rPr>
          <w:b/>
          <w:bCs/>
          <w:sz w:val="28"/>
          <w:szCs w:val="28"/>
        </w:rPr>
      </w:pPr>
      <w:r>
        <w:rPr>
          <w:color w:val="auto"/>
          <w:sz w:val="23"/>
          <w:szCs w:val="23"/>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4E6EAB" w:rsidRDefault="004E6EAB" w:rsidP="004E6EAB">
      <w:pPr>
        <w:pStyle w:val="Default"/>
        <w:jc w:val="center"/>
        <w:rPr>
          <w:b/>
          <w:bCs/>
          <w:sz w:val="28"/>
          <w:szCs w:val="28"/>
        </w:rPr>
      </w:pPr>
    </w:p>
    <w:p w:rsidR="004E6EAB" w:rsidRDefault="004E6EAB" w:rsidP="00E23CE8">
      <w:pPr>
        <w:pStyle w:val="Default"/>
        <w:rPr>
          <w:b/>
          <w:bCs/>
          <w:sz w:val="28"/>
          <w:szCs w:val="28"/>
        </w:rPr>
      </w:pPr>
    </w:p>
    <w:p w:rsidR="005900F8" w:rsidRDefault="005900F8"/>
    <w:sectPr w:rsidR="005900F8" w:rsidSect="004044CE">
      <w:footerReference w:type="default" r:id="rId9"/>
      <w:headerReference w:type="first" r:id="rId10"/>
      <w:footerReference w:type="first" r:id="rId11"/>
      <w:pgSz w:w="11906" w:h="16838"/>
      <w:pgMar w:top="10" w:right="1417" w:bottom="993" w:left="1417" w:header="27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4CE" w:rsidRDefault="004044CE" w:rsidP="004044CE">
      <w:pPr>
        <w:spacing w:after="0" w:line="240" w:lineRule="auto"/>
      </w:pPr>
      <w:r>
        <w:separator/>
      </w:r>
    </w:p>
  </w:endnote>
  <w:endnote w:type="continuationSeparator" w:id="0">
    <w:p w:rsidR="004044CE" w:rsidRDefault="004044CE" w:rsidP="004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4CE" w:rsidRPr="00A35079" w:rsidRDefault="004044CE" w:rsidP="004044CE">
    <w:pPr>
      <w:tabs>
        <w:tab w:val="center" w:pos="4536"/>
        <w:tab w:val="right" w:pos="9072"/>
      </w:tabs>
      <w:jc w:val="center"/>
      <w:rPr>
        <w:rFonts w:ascii="Times New Roman" w:hAnsi="Times New Roman"/>
        <w:sz w:val="18"/>
        <w:szCs w:val="18"/>
      </w:rPr>
    </w:pPr>
    <w:r w:rsidRPr="00A35079">
      <w:rPr>
        <w:rFonts w:ascii="Times New Roman" w:hAnsi="Times New Roman"/>
        <w:sz w:val="18"/>
        <w:szCs w:val="18"/>
      </w:rPr>
      <w:t xml:space="preserve">4100 Berettyóújfalu, </w:t>
    </w:r>
    <w:proofErr w:type="spellStart"/>
    <w:r w:rsidRPr="00A35079">
      <w:rPr>
        <w:rFonts w:ascii="Times New Roman" w:hAnsi="Times New Roman"/>
        <w:sz w:val="18"/>
        <w:szCs w:val="18"/>
      </w:rPr>
      <w:t>Herpály</w:t>
    </w:r>
    <w:proofErr w:type="spellEnd"/>
    <w:r w:rsidRPr="00A35079">
      <w:rPr>
        <w:rFonts w:ascii="Times New Roman" w:hAnsi="Times New Roman"/>
        <w:sz w:val="18"/>
        <w:szCs w:val="18"/>
      </w:rPr>
      <w:t xml:space="preserve"> utca 7.; postacím: 4101 Pf.106; Telefon: (+36 54) 795-620; E-mail:bvek.</w:t>
    </w:r>
    <w:hyperlink r:id="rId1" w:history="1">
      <w:r w:rsidRPr="00A35079">
        <w:rPr>
          <w:rFonts w:ascii="Times New Roman" w:hAnsi="Times New Roman"/>
          <w:color w:val="0000FF"/>
          <w:sz w:val="18"/>
          <w:szCs w:val="18"/>
        </w:rPr>
        <w:t>uk@bv.gov.hu</w:t>
      </w:r>
    </w:hyperlink>
  </w:p>
  <w:p w:rsidR="004044CE" w:rsidRDefault="004044CE">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4CE" w:rsidRPr="00A35079" w:rsidRDefault="004044CE" w:rsidP="004044CE">
    <w:pPr>
      <w:tabs>
        <w:tab w:val="center" w:pos="4536"/>
        <w:tab w:val="right" w:pos="9072"/>
      </w:tabs>
      <w:jc w:val="center"/>
      <w:rPr>
        <w:rFonts w:ascii="Times New Roman" w:hAnsi="Times New Roman"/>
        <w:sz w:val="18"/>
        <w:szCs w:val="18"/>
      </w:rPr>
    </w:pPr>
    <w:r w:rsidRPr="00A35079">
      <w:rPr>
        <w:rFonts w:ascii="Times New Roman" w:hAnsi="Times New Roman"/>
        <w:sz w:val="18"/>
        <w:szCs w:val="18"/>
      </w:rPr>
      <w:t xml:space="preserve">4100 Berettyóújfalu, </w:t>
    </w:r>
    <w:proofErr w:type="spellStart"/>
    <w:r w:rsidRPr="00A35079">
      <w:rPr>
        <w:rFonts w:ascii="Times New Roman" w:hAnsi="Times New Roman"/>
        <w:sz w:val="18"/>
        <w:szCs w:val="18"/>
      </w:rPr>
      <w:t>Herpály</w:t>
    </w:r>
    <w:proofErr w:type="spellEnd"/>
    <w:r w:rsidRPr="00A35079">
      <w:rPr>
        <w:rFonts w:ascii="Times New Roman" w:hAnsi="Times New Roman"/>
        <w:sz w:val="18"/>
        <w:szCs w:val="18"/>
      </w:rPr>
      <w:t xml:space="preserve"> utca 7.; postacím: 4101 Pf.106; Telefon: (+36 54) 795-620; E-mail:bvek.</w:t>
    </w:r>
    <w:hyperlink r:id="rId1" w:history="1">
      <w:r w:rsidRPr="00A35079">
        <w:rPr>
          <w:rFonts w:ascii="Times New Roman" w:hAnsi="Times New Roman"/>
          <w:color w:val="0000FF"/>
          <w:sz w:val="18"/>
          <w:szCs w:val="18"/>
        </w:rPr>
        <w:t>uk@bv.gov.hu</w:t>
      </w:r>
    </w:hyperlink>
  </w:p>
  <w:p w:rsidR="004044CE" w:rsidRDefault="004044C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4CE" w:rsidRDefault="004044CE" w:rsidP="004044CE">
      <w:pPr>
        <w:spacing w:after="0" w:line="240" w:lineRule="auto"/>
      </w:pPr>
      <w:r>
        <w:separator/>
      </w:r>
    </w:p>
  </w:footnote>
  <w:footnote w:type="continuationSeparator" w:id="0">
    <w:p w:rsidR="004044CE" w:rsidRDefault="004044CE" w:rsidP="00404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4CE" w:rsidRPr="00A35079" w:rsidRDefault="004044CE" w:rsidP="004044CE">
    <w:pPr>
      <w:pStyle w:val="lfej"/>
      <w:jc w:val="center"/>
      <w:rPr>
        <w:rFonts w:ascii="Times New Roman" w:hAnsi="Times New Roman" w:cs="Times New Roman"/>
        <w:caps/>
        <w:sz w:val="24"/>
      </w:rPr>
    </w:pPr>
    <w:r w:rsidRPr="00A35079">
      <w:rPr>
        <w:rFonts w:ascii="Times New Roman" w:hAnsi="Times New Roman" w:cs="Times New Roman"/>
        <w:noProof/>
        <w:sz w:val="24"/>
      </w:rPr>
      <w:drawing>
        <wp:inline distT="0" distB="0" distL="0" distR="0" wp14:anchorId="4B4D4CB7" wp14:editId="6F84E5C3">
          <wp:extent cx="455988" cy="836762"/>
          <wp:effectExtent l="0" t="0" r="1270" b="190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yar_cimer.gif"/>
                  <pic:cNvPicPr/>
                </pic:nvPicPr>
                <pic:blipFill>
                  <a:blip r:embed="rId1">
                    <a:extLst>
                      <a:ext uri="{28A0092B-C50C-407E-A947-70E740481C1C}">
                        <a14:useLocalDpi xmlns:a14="http://schemas.microsoft.com/office/drawing/2010/main" val="0"/>
                      </a:ext>
                    </a:extLst>
                  </a:blip>
                  <a:stretch>
                    <a:fillRect/>
                  </a:stretch>
                </pic:blipFill>
                <pic:spPr>
                  <a:xfrm>
                    <a:off x="0" y="0"/>
                    <a:ext cx="457629" cy="839773"/>
                  </a:xfrm>
                  <a:prstGeom prst="rect">
                    <a:avLst/>
                  </a:prstGeom>
                </pic:spPr>
              </pic:pic>
            </a:graphicData>
          </a:graphic>
        </wp:inline>
      </w:drawing>
    </w:r>
  </w:p>
  <w:p w:rsidR="004044CE" w:rsidRDefault="004044CE" w:rsidP="004044CE">
    <w:pPr>
      <w:tabs>
        <w:tab w:val="center" w:pos="4536"/>
        <w:tab w:val="right" w:pos="9072"/>
      </w:tabs>
      <w:jc w:val="center"/>
      <w:rPr>
        <w:rFonts w:ascii="Times New Roman" w:hAnsi="Times New Roman"/>
        <w:caps/>
        <w:sz w:val="24"/>
        <w:szCs w:val="24"/>
      </w:rPr>
    </w:pPr>
    <w:r w:rsidRPr="00A35079">
      <w:rPr>
        <w:rFonts w:ascii="Times New Roman" w:hAnsi="Times New Roman"/>
        <w:caps/>
        <w:sz w:val="24"/>
        <w:szCs w:val="24"/>
      </w:rPr>
      <w:t>BÜNTETÉS-VÉGREHAJTÁS EGÉSZSÉGÜGYI KÖZPONT</w:t>
    </w:r>
  </w:p>
  <w:p w:rsidR="004044CE" w:rsidRDefault="004044CE" w:rsidP="004044CE">
    <w:pPr>
      <w:pStyle w:val="Default"/>
      <w:jc w:val="center"/>
      <w:rPr>
        <w:b/>
        <w:bCs/>
        <w:sz w:val="28"/>
        <w:szCs w:val="28"/>
      </w:rPr>
    </w:pPr>
    <w:proofErr w:type="spellStart"/>
    <w:r>
      <w:rPr>
        <w:b/>
        <w:bCs/>
        <w:sz w:val="28"/>
        <w:szCs w:val="28"/>
      </w:rPr>
      <w:t>Érintetti</w:t>
    </w:r>
    <w:proofErr w:type="spellEnd"/>
    <w:r>
      <w:rPr>
        <w:b/>
        <w:bCs/>
        <w:sz w:val="28"/>
        <w:szCs w:val="28"/>
      </w:rPr>
      <w:t xml:space="preserve"> tájékoztató</w:t>
    </w:r>
  </w:p>
  <w:p w:rsidR="004044CE" w:rsidRPr="00A35079" w:rsidRDefault="004044CE" w:rsidP="004044CE">
    <w:pPr>
      <w:tabs>
        <w:tab w:val="center" w:pos="4536"/>
        <w:tab w:val="right" w:pos="9072"/>
      </w:tabs>
      <w:jc w:val="center"/>
      <w:rPr>
        <w:rFonts w:ascii="Times New Roman" w:hAnsi="Times New Roman"/>
        <w:sz w:val="24"/>
      </w:rPr>
    </w:pPr>
  </w:p>
  <w:p w:rsidR="004044CE" w:rsidRDefault="004044CE">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733BA"/>
    <w:multiLevelType w:val="hybridMultilevel"/>
    <w:tmpl w:val="3C0E3D92"/>
    <w:lvl w:ilvl="0" w:tplc="64EE6D5E">
      <w:start w:val="201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AB"/>
    <w:rsid w:val="00026D15"/>
    <w:rsid w:val="00074AF8"/>
    <w:rsid w:val="000D1F01"/>
    <w:rsid w:val="001F0A17"/>
    <w:rsid w:val="002C0641"/>
    <w:rsid w:val="002E6848"/>
    <w:rsid w:val="003A6C67"/>
    <w:rsid w:val="003E188A"/>
    <w:rsid w:val="004044CE"/>
    <w:rsid w:val="00466967"/>
    <w:rsid w:val="004E6EAB"/>
    <w:rsid w:val="00503967"/>
    <w:rsid w:val="005062D8"/>
    <w:rsid w:val="005900F8"/>
    <w:rsid w:val="0062754D"/>
    <w:rsid w:val="006D1B10"/>
    <w:rsid w:val="00721658"/>
    <w:rsid w:val="007A422E"/>
    <w:rsid w:val="007B5D57"/>
    <w:rsid w:val="00807777"/>
    <w:rsid w:val="0081184E"/>
    <w:rsid w:val="00812FA5"/>
    <w:rsid w:val="008C4F4E"/>
    <w:rsid w:val="009150EA"/>
    <w:rsid w:val="00920205"/>
    <w:rsid w:val="009E56E4"/>
    <w:rsid w:val="00A4535D"/>
    <w:rsid w:val="00AD6F84"/>
    <w:rsid w:val="00B37DD2"/>
    <w:rsid w:val="00B9003D"/>
    <w:rsid w:val="00BC4E28"/>
    <w:rsid w:val="00C57C98"/>
    <w:rsid w:val="00C85BE6"/>
    <w:rsid w:val="00CA1D5B"/>
    <w:rsid w:val="00D16866"/>
    <w:rsid w:val="00DA5A1F"/>
    <w:rsid w:val="00DF786D"/>
    <w:rsid w:val="00E23CE8"/>
    <w:rsid w:val="00E253DC"/>
    <w:rsid w:val="00E31414"/>
    <w:rsid w:val="00E73064"/>
    <w:rsid w:val="00EF3059"/>
    <w:rsid w:val="00F06953"/>
    <w:rsid w:val="00F560DE"/>
    <w:rsid w:val="00F66FFB"/>
    <w:rsid w:val="00FB59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E6EAB"/>
    <w:pPr>
      <w:tabs>
        <w:tab w:val="center" w:pos="4536"/>
        <w:tab w:val="right" w:pos="9072"/>
      </w:tabs>
      <w:spacing w:after="0" w:line="240" w:lineRule="auto"/>
    </w:pPr>
  </w:style>
  <w:style w:type="character" w:customStyle="1" w:styleId="lfejChar">
    <w:name w:val="Élőfej Char"/>
    <w:basedOn w:val="Bekezdsalapbettpusa"/>
    <w:link w:val="lfej"/>
    <w:uiPriority w:val="99"/>
    <w:rsid w:val="004E6EAB"/>
  </w:style>
  <w:style w:type="paragraph" w:styleId="Buborkszveg">
    <w:name w:val="Balloon Text"/>
    <w:basedOn w:val="Norml"/>
    <w:link w:val="BuborkszvegChar"/>
    <w:uiPriority w:val="99"/>
    <w:semiHidden/>
    <w:unhideWhenUsed/>
    <w:rsid w:val="004E6EA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E6EAB"/>
    <w:rPr>
      <w:rFonts w:ascii="Tahoma" w:hAnsi="Tahoma" w:cs="Tahoma"/>
      <w:sz w:val="16"/>
      <w:szCs w:val="16"/>
    </w:rPr>
  </w:style>
  <w:style w:type="paragraph" w:customStyle="1" w:styleId="Default">
    <w:name w:val="Default"/>
    <w:rsid w:val="004E6EAB"/>
    <w:pPr>
      <w:autoSpaceDE w:val="0"/>
      <w:autoSpaceDN w:val="0"/>
      <w:adjustRightInd w:val="0"/>
      <w:spacing w:after="0" w:line="240" w:lineRule="auto"/>
    </w:pPr>
    <w:rPr>
      <w:rFonts w:ascii="Times New Roman" w:hAnsi="Times New Roman" w:cs="Times New Roman"/>
      <w:color w:val="000000"/>
      <w:sz w:val="24"/>
      <w:szCs w:val="24"/>
    </w:rPr>
  </w:style>
  <w:style w:type="table" w:styleId="Rcsostblzat">
    <w:name w:val="Table Grid"/>
    <w:basedOn w:val="Normltblzat"/>
    <w:uiPriority w:val="59"/>
    <w:rsid w:val="004E6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2C0641"/>
    <w:pPr>
      <w:ind w:left="720"/>
      <w:contextualSpacing/>
    </w:pPr>
    <w:rPr>
      <w:rFonts w:eastAsiaTheme="minorHAnsi"/>
      <w:lang w:eastAsia="en-US"/>
    </w:rPr>
  </w:style>
  <w:style w:type="paragraph" w:styleId="llb">
    <w:name w:val="footer"/>
    <w:basedOn w:val="Norml"/>
    <w:link w:val="llbChar"/>
    <w:uiPriority w:val="99"/>
    <w:unhideWhenUsed/>
    <w:rsid w:val="004044CE"/>
    <w:pPr>
      <w:tabs>
        <w:tab w:val="center" w:pos="4536"/>
        <w:tab w:val="right" w:pos="9072"/>
      </w:tabs>
      <w:spacing w:after="0" w:line="240" w:lineRule="auto"/>
    </w:pPr>
  </w:style>
  <w:style w:type="character" w:customStyle="1" w:styleId="llbChar">
    <w:name w:val="Élőláb Char"/>
    <w:basedOn w:val="Bekezdsalapbettpusa"/>
    <w:link w:val="llb"/>
    <w:uiPriority w:val="99"/>
    <w:rsid w:val="004044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E6EAB"/>
    <w:pPr>
      <w:tabs>
        <w:tab w:val="center" w:pos="4536"/>
        <w:tab w:val="right" w:pos="9072"/>
      </w:tabs>
      <w:spacing w:after="0" w:line="240" w:lineRule="auto"/>
    </w:pPr>
  </w:style>
  <w:style w:type="character" w:customStyle="1" w:styleId="lfejChar">
    <w:name w:val="Élőfej Char"/>
    <w:basedOn w:val="Bekezdsalapbettpusa"/>
    <w:link w:val="lfej"/>
    <w:uiPriority w:val="99"/>
    <w:rsid w:val="004E6EAB"/>
  </w:style>
  <w:style w:type="paragraph" w:styleId="Buborkszveg">
    <w:name w:val="Balloon Text"/>
    <w:basedOn w:val="Norml"/>
    <w:link w:val="BuborkszvegChar"/>
    <w:uiPriority w:val="99"/>
    <w:semiHidden/>
    <w:unhideWhenUsed/>
    <w:rsid w:val="004E6EA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E6EAB"/>
    <w:rPr>
      <w:rFonts w:ascii="Tahoma" w:hAnsi="Tahoma" w:cs="Tahoma"/>
      <w:sz w:val="16"/>
      <w:szCs w:val="16"/>
    </w:rPr>
  </w:style>
  <w:style w:type="paragraph" w:customStyle="1" w:styleId="Default">
    <w:name w:val="Default"/>
    <w:rsid w:val="004E6EAB"/>
    <w:pPr>
      <w:autoSpaceDE w:val="0"/>
      <w:autoSpaceDN w:val="0"/>
      <w:adjustRightInd w:val="0"/>
      <w:spacing w:after="0" w:line="240" w:lineRule="auto"/>
    </w:pPr>
    <w:rPr>
      <w:rFonts w:ascii="Times New Roman" w:hAnsi="Times New Roman" w:cs="Times New Roman"/>
      <w:color w:val="000000"/>
      <w:sz w:val="24"/>
      <w:szCs w:val="24"/>
    </w:rPr>
  </w:style>
  <w:style w:type="table" w:styleId="Rcsostblzat">
    <w:name w:val="Table Grid"/>
    <w:basedOn w:val="Normltblzat"/>
    <w:uiPriority w:val="59"/>
    <w:rsid w:val="004E6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34"/>
    <w:qFormat/>
    <w:rsid w:val="002C0641"/>
    <w:pPr>
      <w:ind w:left="720"/>
      <w:contextualSpacing/>
    </w:pPr>
    <w:rPr>
      <w:rFonts w:eastAsiaTheme="minorHAnsi"/>
      <w:lang w:eastAsia="en-US"/>
    </w:rPr>
  </w:style>
  <w:style w:type="paragraph" w:styleId="llb">
    <w:name w:val="footer"/>
    <w:basedOn w:val="Norml"/>
    <w:link w:val="llbChar"/>
    <w:uiPriority w:val="99"/>
    <w:unhideWhenUsed/>
    <w:rsid w:val="004044CE"/>
    <w:pPr>
      <w:tabs>
        <w:tab w:val="center" w:pos="4536"/>
        <w:tab w:val="right" w:pos="9072"/>
      </w:tabs>
      <w:spacing w:after="0" w:line="240" w:lineRule="auto"/>
    </w:pPr>
  </w:style>
  <w:style w:type="character" w:customStyle="1" w:styleId="llbChar">
    <w:name w:val="Élőláb Char"/>
    <w:basedOn w:val="Bekezdsalapbettpusa"/>
    <w:link w:val="llb"/>
    <w:uiPriority w:val="99"/>
    <w:rsid w:val="00404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k@bv.gov.h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uk@bv.gov.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80985-CBD6-49D7-AECB-715CBC66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BD8C3117</Template>
  <TotalTime>0</TotalTime>
  <Pages>3</Pages>
  <Words>1176</Words>
  <Characters>8122</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bodnar.eszter</cp:lastModifiedBy>
  <cp:revision>2</cp:revision>
  <dcterms:created xsi:type="dcterms:W3CDTF">2021-11-15T14:44:00Z</dcterms:created>
  <dcterms:modified xsi:type="dcterms:W3CDTF">2021-11-15T14:44:00Z</dcterms:modified>
</cp:coreProperties>
</file>