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BD" w:rsidRPr="00C362BD" w:rsidRDefault="00C362BD" w:rsidP="00C362BD">
      <w:pPr>
        <w:spacing w:before="240" w:after="450" w:line="240" w:lineRule="auto"/>
        <w:jc w:val="center"/>
        <w:outlineLvl w:val="1"/>
        <w:rPr>
          <w:rFonts w:ascii="Times New Roman" w:eastAsia="Times New Roman" w:hAnsi="Times New Roman" w:cs="Times New Roman"/>
          <w:b/>
          <w:bCs/>
          <w:caps/>
          <w:sz w:val="28"/>
          <w:szCs w:val="28"/>
          <w:lang w:eastAsia="hu-HU"/>
        </w:rPr>
      </w:pPr>
      <w:r w:rsidRPr="00C362BD">
        <w:rPr>
          <w:rFonts w:ascii="Times New Roman" w:eastAsia="Times New Roman" w:hAnsi="Times New Roman" w:cs="Times New Roman"/>
          <w:b/>
          <w:bCs/>
          <w:caps/>
          <w:sz w:val="28"/>
          <w:szCs w:val="28"/>
          <w:lang w:eastAsia="hu-HU"/>
        </w:rPr>
        <w:t>KAPCSOLATTARTÁS</w:t>
      </w:r>
    </w:p>
    <w:p w:rsidR="00C362BD" w:rsidRPr="00C362BD" w:rsidRDefault="00C362BD" w:rsidP="00C362BD">
      <w:pPr>
        <w:shd w:val="clear" w:color="auto" w:fill="FFFFFF"/>
        <w:spacing w:after="288" w:line="240" w:lineRule="auto"/>
        <w:jc w:val="both"/>
        <w:rPr>
          <w:rFonts w:ascii="Times New Roman" w:eastAsia="Times New Roman" w:hAnsi="Times New Roman" w:cs="Times New Roman"/>
          <w:sz w:val="28"/>
          <w:szCs w:val="28"/>
          <w:lang w:eastAsia="hu-HU"/>
        </w:rPr>
      </w:pPr>
      <w:r w:rsidRPr="00C362BD">
        <w:rPr>
          <w:rFonts w:ascii="Times New Roman" w:eastAsia="Times New Roman" w:hAnsi="Times New Roman" w:cs="Times New Roman"/>
          <w:sz w:val="28"/>
          <w:szCs w:val="28"/>
          <w:lang w:eastAsia="hu-HU"/>
        </w:rPr>
        <w:t xml:space="preserve">A rendelkezési jogkör gyakorlója (ügyész, bíró - letartóztatott esetén), illetve az intézet engedélye alapján a fogvatartott hozzátartozóival, valamint az általa megjelölt személyekkel tarthat kapcsolatot. A kapcsolattartó regisztráláshoz elengedhetetlen az érintett személy hozzájárulása. Az ehhez szükséges formanyomtatványt a </w:t>
      </w:r>
      <w:proofErr w:type="spellStart"/>
      <w:r w:rsidRPr="00C362BD">
        <w:rPr>
          <w:rFonts w:ascii="Times New Roman" w:eastAsia="Times New Roman" w:hAnsi="Times New Roman" w:cs="Times New Roman"/>
          <w:sz w:val="28"/>
          <w:szCs w:val="28"/>
          <w:lang w:eastAsia="hu-HU"/>
        </w:rPr>
        <w:t>reintegrációs</w:t>
      </w:r>
      <w:proofErr w:type="spellEnd"/>
      <w:r w:rsidRPr="00C362BD">
        <w:rPr>
          <w:rFonts w:ascii="Times New Roman" w:eastAsia="Times New Roman" w:hAnsi="Times New Roman" w:cs="Times New Roman"/>
          <w:sz w:val="28"/>
          <w:szCs w:val="28"/>
          <w:lang w:eastAsia="hu-HU"/>
        </w:rPr>
        <w:t xml:space="preserve"> tiszttől kell kérni, vagy az alábbi melléklet kitöltésével </w:t>
      </w:r>
      <w:proofErr w:type="spellStart"/>
      <w:r w:rsidRPr="00C362BD">
        <w:rPr>
          <w:rFonts w:ascii="Times New Roman" w:eastAsia="Times New Roman" w:hAnsi="Times New Roman" w:cs="Times New Roman"/>
          <w:sz w:val="28"/>
          <w:szCs w:val="28"/>
          <w:lang w:eastAsia="hu-HU"/>
        </w:rPr>
        <w:t>bv</w:t>
      </w:r>
      <w:proofErr w:type="spellEnd"/>
      <w:r w:rsidRPr="00C362BD">
        <w:rPr>
          <w:rFonts w:ascii="Times New Roman" w:eastAsia="Times New Roman" w:hAnsi="Times New Roman" w:cs="Times New Roman"/>
          <w:sz w:val="28"/>
          <w:szCs w:val="28"/>
          <w:lang w:eastAsia="hu-HU"/>
        </w:rPr>
        <w:t>. intézetbe való bevonulásakor is vihető (melléklet – kapcsolattartói nyilatkozat). Ennek hiányában a megjelölt személlyel kapcsolatot nem lehet tartani. Tizenhat éven aluli kapcsolattartó esetén a törvényes képviselő írásos hozzájáruló nyilatkozatára is szükség van. A kapcsolattartói nyilatkozatot a fogvatartott levélben, saját költségén küldheti ki hozzátartozóinak, illetve látogatófogadáson adhatja át már regisztrált kapcsolattartóinak.</w:t>
      </w:r>
    </w:p>
    <w:p w:rsidR="00C362BD" w:rsidRPr="00C362BD" w:rsidRDefault="00C362BD" w:rsidP="00C362BD">
      <w:pPr>
        <w:shd w:val="clear" w:color="auto" w:fill="FFFFFF"/>
        <w:spacing w:after="288" w:line="240" w:lineRule="auto"/>
        <w:jc w:val="both"/>
        <w:rPr>
          <w:rFonts w:ascii="Times New Roman" w:eastAsia="Times New Roman" w:hAnsi="Times New Roman" w:cs="Times New Roman"/>
          <w:sz w:val="28"/>
          <w:szCs w:val="28"/>
          <w:lang w:eastAsia="hu-HU"/>
        </w:rPr>
      </w:pPr>
      <w:r w:rsidRPr="00C362BD">
        <w:rPr>
          <w:rFonts w:ascii="Times New Roman" w:eastAsia="Times New Roman" w:hAnsi="Times New Roman" w:cs="Times New Roman"/>
          <w:sz w:val="28"/>
          <w:szCs w:val="28"/>
          <w:lang w:eastAsia="hu-HU"/>
        </w:rPr>
        <w:t>A letartóztatottak kapcsolattartására vonatkozóan a büntetőeljárás eredményes lefolytatása érdekében a rendelkezési jogkör gyakorlója korlátozást, tiltást rendelhet el.</w:t>
      </w:r>
    </w:p>
    <w:p w:rsidR="00C362BD" w:rsidRPr="00C362BD" w:rsidRDefault="00C362BD" w:rsidP="00C362BD">
      <w:pPr>
        <w:shd w:val="clear" w:color="auto" w:fill="FFFFFF"/>
        <w:spacing w:after="288" w:line="240" w:lineRule="auto"/>
        <w:jc w:val="both"/>
        <w:rPr>
          <w:rFonts w:ascii="Times New Roman" w:eastAsia="Times New Roman" w:hAnsi="Times New Roman" w:cs="Times New Roman"/>
          <w:sz w:val="28"/>
          <w:szCs w:val="28"/>
          <w:lang w:eastAsia="hu-HU"/>
        </w:rPr>
      </w:pPr>
      <w:r w:rsidRPr="00C362BD">
        <w:rPr>
          <w:rFonts w:ascii="Times New Roman" w:eastAsia="Times New Roman" w:hAnsi="Times New Roman" w:cs="Times New Roman"/>
          <w:sz w:val="28"/>
          <w:szCs w:val="28"/>
          <w:lang w:eastAsia="hu-HU"/>
        </w:rPr>
        <w:t>A fentieken túl kapcsolatot tarthat a fogvatartott védőjével, illetve egyeztetést követően jogi képviselőjével.</w:t>
      </w:r>
    </w:p>
    <w:p w:rsidR="00C362BD" w:rsidRPr="00C362BD" w:rsidRDefault="00C362BD" w:rsidP="00C362BD">
      <w:pPr>
        <w:shd w:val="clear" w:color="auto" w:fill="FFFFFF"/>
        <w:spacing w:after="288" w:line="240" w:lineRule="auto"/>
        <w:jc w:val="both"/>
        <w:rPr>
          <w:rFonts w:ascii="Times New Roman" w:eastAsia="Times New Roman" w:hAnsi="Times New Roman" w:cs="Times New Roman"/>
          <w:sz w:val="28"/>
          <w:szCs w:val="28"/>
          <w:lang w:eastAsia="hu-HU"/>
        </w:rPr>
      </w:pPr>
      <w:r w:rsidRPr="00C362BD">
        <w:rPr>
          <w:rFonts w:ascii="Times New Roman" w:eastAsia="Times New Roman" w:hAnsi="Times New Roman" w:cs="Times New Roman"/>
          <w:sz w:val="28"/>
          <w:szCs w:val="28"/>
          <w:lang w:eastAsia="hu-HU"/>
        </w:rPr>
        <w:t>Ki számít hozzátartozónak?</w:t>
      </w:r>
    </w:p>
    <w:p w:rsidR="00C362BD" w:rsidRPr="00C362BD" w:rsidRDefault="00C362BD" w:rsidP="00C362BD">
      <w:pPr>
        <w:shd w:val="clear" w:color="auto" w:fill="FFFFFF"/>
        <w:spacing w:after="288" w:line="240" w:lineRule="auto"/>
        <w:jc w:val="both"/>
        <w:rPr>
          <w:rFonts w:ascii="Times New Roman" w:eastAsia="Times New Roman" w:hAnsi="Times New Roman" w:cs="Times New Roman"/>
          <w:sz w:val="28"/>
          <w:szCs w:val="28"/>
          <w:lang w:eastAsia="hu-HU"/>
        </w:rPr>
      </w:pPr>
      <w:r w:rsidRPr="00C362BD">
        <w:rPr>
          <w:rFonts w:ascii="Times New Roman" w:eastAsia="Times New Roman" w:hAnsi="Times New Roman" w:cs="Times New Roman"/>
          <w:sz w:val="28"/>
          <w:szCs w:val="28"/>
          <w:u w:val="single"/>
          <w:lang w:eastAsia="hu-HU"/>
        </w:rPr>
        <w:t>Hozzátartozó</w:t>
      </w:r>
      <w:r w:rsidRPr="00C362BD">
        <w:rPr>
          <w:rFonts w:ascii="Times New Roman" w:eastAsia="Times New Roman" w:hAnsi="Times New Roman" w:cs="Times New Roman"/>
          <w:sz w:val="28"/>
          <w:szCs w:val="28"/>
          <w:lang w:eastAsia="hu-HU"/>
        </w:rPr>
        <w:t>:</w:t>
      </w:r>
    </w:p>
    <w:p w:rsidR="00C362BD" w:rsidRPr="00C362BD" w:rsidRDefault="00C362BD" w:rsidP="00C362BD">
      <w:pPr>
        <w:pStyle w:val="Listaszerbekezds"/>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hu-HU"/>
        </w:rPr>
      </w:pPr>
      <w:r w:rsidRPr="00C362BD">
        <w:rPr>
          <w:rFonts w:ascii="Times New Roman" w:eastAsia="Times New Roman" w:hAnsi="Times New Roman" w:cs="Times New Roman"/>
          <w:sz w:val="28"/>
          <w:szCs w:val="28"/>
          <w:lang w:eastAsia="hu-HU"/>
        </w:rPr>
        <w:t xml:space="preserve">az </w:t>
      </w:r>
      <w:proofErr w:type="spellStart"/>
      <w:r w:rsidRPr="00C362BD">
        <w:rPr>
          <w:rFonts w:ascii="Times New Roman" w:eastAsia="Times New Roman" w:hAnsi="Times New Roman" w:cs="Times New Roman"/>
          <w:sz w:val="28"/>
          <w:szCs w:val="28"/>
          <w:lang w:eastAsia="hu-HU"/>
        </w:rPr>
        <w:t>egyeneságbeli</w:t>
      </w:r>
      <w:proofErr w:type="spellEnd"/>
      <w:r w:rsidRPr="00C362BD">
        <w:rPr>
          <w:rFonts w:ascii="Times New Roman" w:eastAsia="Times New Roman" w:hAnsi="Times New Roman" w:cs="Times New Roman"/>
          <w:sz w:val="28"/>
          <w:szCs w:val="28"/>
          <w:lang w:eastAsia="hu-HU"/>
        </w:rPr>
        <w:t xml:space="preserve"> rokon és ennek házastársa vagy élettársa;</w:t>
      </w:r>
    </w:p>
    <w:p w:rsidR="00C362BD" w:rsidRPr="00C362BD" w:rsidRDefault="00C362BD" w:rsidP="00C362BD">
      <w:pPr>
        <w:pStyle w:val="Listaszerbekezds"/>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hu-HU"/>
        </w:rPr>
      </w:pPr>
      <w:bookmarkStart w:id="0" w:name="pr3286"/>
      <w:bookmarkEnd w:id="0"/>
      <w:r w:rsidRPr="00C362BD">
        <w:rPr>
          <w:rFonts w:ascii="Times New Roman" w:eastAsia="Times New Roman" w:hAnsi="Times New Roman" w:cs="Times New Roman"/>
          <w:sz w:val="28"/>
          <w:szCs w:val="28"/>
          <w:lang w:eastAsia="hu-HU"/>
        </w:rPr>
        <w:t>az örökbefogadó és a nevelőszülő (ideértve az együtt élő mostohaszülőt is), az örökbe fogadott és a nevelt gyermek (ideértve az együtt élő mostohagyermeket is);</w:t>
      </w:r>
    </w:p>
    <w:p w:rsidR="00C362BD" w:rsidRPr="00C362BD" w:rsidRDefault="00C362BD" w:rsidP="00C362BD">
      <w:pPr>
        <w:pStyle w:val="Listaszerbekezds"/>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hu-HU"/>
        </w:rPr>
      </w:pPr>
      <w:bookmarkStart w:id="1" w:name="pr3287"/>
      <w:bookmarkEnd w:id="1"/>
      <w:r w:rsidRPr="00C362BD">
        <w:rPr>
          <w:rFonts w:ascii="Times New Roman" w:eastAsia="Times New Roman" w:hAnsi="Times New Roman" w:cs="Times New Roman"/>
          <w:sz w:val="28"/>
          <w:szCs w:val="28"/>
          <w:lang w:eastAsia="hu-HU"/>
        </w:rPr>
        <w:t>a testvér és a testvér házastársa vagy élettársa;</w:t>
      </w:r>
    </w:p>
    <w:p w:rsidR="00C362BD" w:rsidRPr="00C362BD" w:rsidRDefault="00C362BD" w:rsidP="00C362BD">
      <w:pPr>
        <w:pStyle w:val="Listaszerbekezds"/>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hu-HU"/>
        </w:rPr>
      </w:pPr>
      <w:bookmarkStart w:id="2" w:name="pr3288"/>
      <w:bookmarkEnd w:id="2"/>
      <w:r w:rsidRPr="00C362BD">
        <w:rPr>
          <w:rFonts w:ascii="Times New Roman" w:eastAsia="Times New Roman" w:hAnsi="Times New Roman" w:cs="Times New Roman"/>
          <w:sz w:val="28"/>
          <w:szCs w:val="28"/>
          <w:lang w:eastAsia="hu-HU"/>
        </w:rPr>
        <w:t>a házastárs, az élettárs;</w:t>
      </w:r>
    </w:p>
    <w:p w:rsidR="00C362BD" w:rsidRPr="00C362BD" w:rsidRDefault="00C362BD" w:rsidP="00C362BD">
      <w:pPr>
        <w:pStyle w:val="Listaszerbekezds"/>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hu-HU"/>
        </w:rPr>
      </w:pPr>
      <w:bookmarkStart w:id="3" w:name="pr3289"/>
      <w:bookmarkEnd w:id="3"/>
      <w:r w:rsidRPr="00C362BD">
        <w:rPr>
          <w:rFonts w:ascii="Times New Roman" w:eastAsia="Times New Roman" w:hAnsi="Times New Roman" w:cs="Times New Roman"/>
          <w:sz w:val="28"/>
          <w:szCs w:val="28"/>
          <w:lang w:eastAsia="hu-HU"/>
        </w:rPr>
        <w:t xml:space="preserve">a házastárs vagy az élettárs </w:t>
      </w:r>
      <w:proofErr w:type="spellStart"/>
      <w:r w:rsidRPr="00C362BD">
        <w:rPr>
          <w:rFonts w:ascii="Times New Roman" w:eastAsia="Times New Roman" w:hAnsi="Times New Roman" w:cs="Times New Roman"/>
          <w:sz w:val="28"/>
          <w:szCs w:val="28"/>
          <w:lang w:eastAsia="hu-HU"/>
        </w:rPr>
        <w:t>egyeneságbeli</w:t>
      </w:r>
      <w:proofErr w:type="spellEnd"/>
      <w:r w:rsidRPr="00C362BD">
        <w:rPr>
          <w:rFonts w:ascii="Times New Roman" w:eastAsia="Times New Roman" w:hAnsi="Times New Roman" w:cs="Times New Roman"/>
          <w:sz w:val="28"/>
          <w:szCs w:val="28"/>
          <w:lang w:eastAsia="hu-HU"/>
        </w:rPr>
        <w:t xml:space="preserve"> rokona és testvére.</w:t>
      </w:r>
    </w:p>
    <w:p w:rsidR="00C362BD" w:rsidRPr="00C362BD" w:rsidRDefault="00C362BD" w:rsidP="00C362BD">
      <w:pPr>
        <w:shd w:val="clear" w:color="auto" w:fill="FFFFFF"/>
        <w:spacing w:after="288" w:line="240" w:lineRule="auto"/>
        <w:jc w:val="both"/>
        <w:rPr>
          <w:rFonts w:ascii="Times New Roman" w:eastAsia="Times New Roman" w:hAnsi="Times New Roman" w:cs="Times New Roman"/>
          <w:sz w:val="28"/>
          <w:szCs w:val="28"/>
          <w:lang w:eastAsia="hu-HU"/>
        </w:rPr>
      </w:pPr>
      <w:r w:rsidRPr="00C362BD">
        <w:rPr>
          <w:rFonts w:ascii="Times New Roman" w:eastAsia="Times New Roman" w:hAnsi="Times New Roman" w:cs="Times New Roman"/>
          <w:sz w:val="28"/>
          <w:szCs w:val="28"/>
          <w:u w:val="single"/>
          <w:lang w:eastAsia="hu-HU"/>
        </w:rPr>
        <w:t>A kapcsolattartás formái</w:t>
      </w:r>
      <w:r w:rsidRPr="00C362BD">
        <w:rPr>
          <w:rFonts w:ascii="Times New Roman" w:eastAsia="Times New Roman" w:hAnsi="Times New Roman" w:cs="Times New Roman"/>
          <w:sz w:val="28"/>
          <w:szCs w:val="28"/>
          <w:lang w:eastAsia="hu-HU"/>
        </w:rPr>
        <w:t>: (</w:t>
      </w:r>
      <w:proofErr w:type="spellStart"/>
      <w:r w:rsidRPr="00C362BD">
        <w:rPr>
          <w:rFonts w:ascii="Times New Roman" w:eastAsia="Times New Roman" w:hAnsi="Times New Roman" w:cs="Times New Roman"/>
          <w:sz w:val="28"/>
          <w:szCs w:val="28"/>
          <w:lang w:eastAsia="hu-HU"/>
        </w:rPr>
        <w:t>alfüleken</w:t>
      </w:r>
      <w:proofErr w:type="spellEnd"/>
      <w:r w:rsidRPr="00C362BD">
        <w:rPr>
          <w:rFonts w:ascii="Times New Roman" w:eastAsia="Times New Roman" w:hAnsi="Times New Roman" w:cs="Times New Roman"/>
          <w:sz w:val="28"/>
          <w:szCs w:val="28"/>
          <w:lang w:eastAsia="hu-HU"/>
        </w:rPr>
        <w:t>)</w:t>
      </w:r>
      <w:bookmarkStart w:id="4" w:name="_GoBack"/>
      <w:bookmarkEnd w:id="4"/>
    </w:p>
    <w:p w:rsidR="00C362BD" w:rsidRPr="00C362BD" w:rsidRDefault="00C362BD" w:rsidP="00C362BD">
      <w:pPr>
        <w:shd w:val="clear" w:color="auto" w:fill="FFFFFF"/>
        <w:spacing w:after="288" w:line="240" w:lineRule="auto"/>
        <w:jc w:val="both"/>
        <w:rPr>
          <w:rFonts w:ascii="Times New Roman" w:eastAsia="Times New Roman" w:hAnsi="Times New Roman" w:cs="Times New Roman"/>
          <w:sz w:val="28"/>
          <w:szCs w:val="28"/>
          <w:lang w:eastAsia="hu-HU"/>
        </w:rPr>
      </w:pPr>
      <w:r w:rsidRPr="00C362BD">
        <w:rPr>
          <w:rFonts w:ascii="Times New Roman" w:eastAsia="Times New Roman" w:hAnsi="Times New Roman" w:cs="Times New Roman"/>
          <w:b/>
          <w:bCs/>
          <w:sz w:val="28"/>
          <w:szCs w:val="28"/>
          <w:lang w:eastAsia="hu-HU"/>
        </w:rPr>
        <w:t>Levelezés:</w:t>
      </w:r>
      <w:r w:rsidRPr="00C362BD">
        <w:rPr>
          <w:rFonts w:ascii="Times New Roman" w:eastAsia="Times New Roman" w:hAnsi="Times New Roman" w:cs="Times New Roman"/>
          <w:sz w:val="28"/>
          <w:szCs w:val="28"/>
          <w:lang w:eastAsia="hu-HU"/>
        </w:rPr>
        <w:t> a levelezés biztonsági szempontból ellenőrizhető. Levélként kezelendő a levelezőlap, a képes levelezőlap és a nyomtatvány is (például: könyv, katalógus, újság, folyóirat). A levelet tartalmazó borítékban fénykép is elhelyezhető. Minden ettől eltérő tartalommal érkező levélküldemény csomagnak minősül. A hatóságokkal, nemzetközi szervezetekkel, valamint a védővel történő levelezés tartalmilag nem ellenőrizhető.</w:t>
      </w:r>
    </w:p>
    <w:p w:rsidR="00C362BD" w:rsidRPr="00C362BD" w:rsidRDefault="00C362BD" w:rsidP="00C362BD">
      <w:pPr>
        <w:shd w:val="clear" w:color="auto" w:fill="FFFFFF"/>
        <w:spacing w:after="288" w:line="240" w:lineRule="auto"/>
        <w:jc w:val="both"/>
        <w:rPr>
          <w:rFonts w:ascii="Times New Roman" w:eastAsia="Times New Roman" w:hAnsi="Times New Roman" w:cs="Times New Roman"/>
          <w:sz w:val="28"/>
          <w:szCs w:val="28"/>
          <w:lang w:eastAsia="hu-HU"/>
        </w:rPr>
      </w:pPr>
      <w:r w:rsidRPr="00C362BD">
        <w:rPr>
          <w:rFonts w:ascii="Times New Roman" w:eastAsia="Times New Roman" w:hAnsi="Times New Roman" w:cs="Times New Roman"/>
          <w:b/>
          <w:bCs/>
          <w:sz w:val="28"/>
          <w:szCs w:val="28"/>
          <w:lang w:eastAsia="hu-HU"/>
        </w:rPr>
        <w:lastRenderedPageBreak/>
        <w:t>Látogatás:</w:t>
      </w:r>
      <w:r w:rsidRPr="00C362BD">
        <w:rPr>
          <w:rFonts w:ascii="Times New Roman" w:eastAsia="Times New Roman" w:hAnsi="Times New Roman" w:cs="Times New Roman"/>
          <w:sz w:val="28"/>
          <w:szCs w:val="28"/>
          <w:lang w:eastAsia="hu-HU"/>
        </w:rPr>
        <w:t> a rezsimszabályokhoz igazodóan egyidejűleg négy fő látogatót fogadhat a fogvatartott, gyermekkorú látogató csak felnőtt korú személy kíséretében léphet az intézetbe. Ha az intézet biztonsága indokolja, az intézet elrendelheti, hogy biztonsági fülkében történjen a látogatás. A látogatásról szóló tájékoztatót az oldal alján találja.</w:t>
      </w:r>
    </w:p>
    <w:p w:rsidR="00C362BD" w:rsidRPr="00C362BD" w:rsidRDefault="00C362BD" w:rsidP="00C362BD">
      <w:pPr>
        <w:shd w:val="clear" w:color="auto" w:fill="FFFFFF"/>
        <w:spacing w:after="288" w:line="240" w:lineRule="auto"/>
        <w:jc w:val="both"/>
        <w:rPr>
          <w:rFonts w:ascii="Times New Roman" w:eastAsia="Times New Roman" w:hAnsi="Times New Roman" w:cs="Times New Roman"/>
          <w:sz w:val="28"/>
          <w:szCs w:val="28"/>
          <w:lang w:eastAsia="hu-HU"/>
        </w:rPr>
      </w:pPr>
      <w:r w:rsidRPr="00C362BD">
        <w:rPr>
          <w:rFonts w:ascii="Times New Roman" w:eastAsia="Times New Roman" w:hAnsi="Times New Roman" w:cs="Times New Roman"/>
          <w:b/>
          <w:bCs/>
          <w:sz w:val="28"/>
          <w:szCs w:val="28"/>
          <w:lang w:eastAsia="hu-HU"/>
        </w:rPr>
        <w:t>Telefonálás:</w:t>
      </w:r>
      <w:r w:rsidRPr="00C362BD">
        <w:rPr>
          <w:rFonts w:ascii="Times New Roman" w:eastAsia="Times New Roman" w:hAnsi="Times New Roman" w:cs="Times New Roman"/>
          <w:sz w:val="28"/>
          <w:szCs w:val="28"/>
          <w:lang w:eastAsia="hu-HU"/>
        </w:rPr>
        <w:t xml:space="preserve"> a rezsimszabályok szerinti gyakoriságban és időtartamban telefonálni lehet a </w:t>
      </w:r>
      <w:proofErr w:type="spellStart"/>
      <w:r w:rsidRPr="00C362BD">
        <w:rPr>
          <w:rFonts w:ascii="Times New Roman" w:eastAsia="Times New Roman" w:hAnsi="Times New Roman" w:cs="Times New Roman"/>
          <w:sz w:val="28"/>
          <w:szCs w:val="28"/>
          <w:lang w:eastAsia="hu-HU"/>
        </w:rPr>
        <w:t>bv</w:t>
      </w:r>
      <w:proofErr w:type="spellEnd"/>
      <w:r w:rsidRPr="00C362BD">
        <w:rPr>
          <w:rFonts w:ascii="Times New Roman" w:eastAsia="Times New Roman" w:hAnsi="Times New Roman" w:cs="Times New Roman"/>
          <w:sz w:val="28"/>
          <w:szCs w:val="28"/>
          <w:lang w:eastAsia="hu-HU"/>
        </w:rPr>
        <w:t>. intézet által biztosított mobiltelefonon keresztül. A beszélgetés ellenőrizhető.</w:t>
      </w:r>
    </w:p>
    <w:p w:rsidR="00C362BD" w:rsidRPr="00C362BD" w:rsidRDefault="00C362BD" w:rsidP="00C362BD">
      <w:pPr>
        <w:shd w:val="clear" w:color="auto" w:fill="FFFFFF"/>
        <w:spacing w:after="288" w:line="240" w:lineRule="auto"/>
        <w:jc w:val="both"/>
        <w:rPr>
          <w:rFonts w:ascii="Times New Roman" w:eastAsia="Times New Roman" w:hAnsi="Times New Roman" w:cs="Times New Roman"/>
          <w:sz w:val="28"/>
          <w:szCs w:val="28"/>
          <w:lang w:eastAsia="hu-HU"/>
        </w:rPr>
      </w:pPr>
      <w:r w:rsidRPr="00C362BD">
        <w:rPr>
          <w:rFonts w:ascii="Times New Roman" w:eastAsia="Times New Roman" w:hAnsi="Times New Roman" w:cs="Times New Roman"/>
          <w:b/>
          <w:bCs/>
          <w:sz w:val="28"/>
          <w:szCs w:val="28"/>
          <w:lang w:eastAsia="hu-HU"/>
        </w:rPr>
        <w:t>Csomagküldemény:</w:t>
      </w:r>
      <w:r w:rsidRPr="00C362BD">
        <w:rPr>
          <w:rFonts w:ascii="Times New Roman" w:eastAsia="Times New Roman" w:hAnsi="Times New Roman" w:cs="Times New Roman"/>
          <w:sz w:val="28"/>
          <w:szCs w:val="28"/>
          <w:lang w:eastAsia="hu-HU"/>
        </w:rPr>
        <w:t> havonta a fogvatartott csomagot fogadhat és küldhet. Csomag kizárólag postai úton továbbítható, súlya legfeljebb 5 kg lehet.</w:t>
      </w:r>
      <w:r w:rsidRPr="00C362BD">
        <w:rPr>
          <w:rFonts w:ascii="Times New Roman" w:eastAsia="Times New Roman" w:hAnsi="Times New Roman" w:cs="Times New Roman"/>
          <w:b/>
          <w:bCs/>
          <w:sz w:val="28"/>
          <w:szCs w:val="28"/>
          <w:lang w:eastAsia="hu-HU"/>
        </w:rPr>
        <w:t> </w:t>
      </w:r>
      <w:r w:rsidRPr="00C362BD">
        <w:rPr>
          <w:rFonts w:ascii="Times New Roman" w:eastAsia="Times New Roman" w:hAnsi="Times New Roman" w:cs="Times New Roman"/>
          <w:sz w:val="28"/>
          <w:szCs w:val="28"/>
          <w:lang w:eastAsia="hu-HU"/>
        </w:rPr>
        <w:t>Amennyiben a csomag nem regisztrált kapcsolattartótól érkezik, vagy a küldemény súlya – a ruházatot, gyógyszert vagy gyógyászati segédeszközt tartalmazó csomag kivételével – meghaladja az 5 kg-ot, a csomag visszaküldésre kerül. Az intézetek plusz 500 gr tűréshatárra tekintettel adják át a csomagot. Csomagban beküldhető tárgyak (táblázat)</w:t>
      </w:r>
    </w:p>
    <w:p w:rsidR="00C362BD" w:rsidRPr="00C362BD" w:rsidRDefault="00C362BD" w:rsidP="00C362BD">
      <w:pPr>
        <w:shd w:val="clear" w:color="auto" w:fill="FFFFFF"/>
        <w:spacing w:after="288" w:line="240" w:lineRule="auto"/>
        <w:jc w:val="both"/>
        <w:rPr>
          <w:rFonts w:ascii="Times New Roman" w:eastAsia="Times New Roman" w:hAnsi="Times New Roman" w:cs="Times New Roman"/>
          <w:sz w:val="28"/>
          <w:szCs w:val="28"/>
          <w:lang w:eastAsia="hu-HU"/>
        </w:rPr>
      </w:pPr>
      <w:r w:rsidRPr="00C362BD">
        <w:rPr>
          <w:rFonts w:ascii="Times New Roman" w:eastAsia="Times New Roman" w:hAnsi="Times New Roman" w:cs="Times New Roman"/>
          <w:b/>
          <w:bCs/>
          <w:sz w:val="28"/>
          <w:szCs w:val="28"/>
          <w:lang w:eastAsia="hu-HU"/>
        </w:rPr>
        <w:t>A csomagküldés szabályai azonban 2018. július 1-jétől megváltoznak. </w:t>
      </w:r>
      <w:r w:rsidRPr="00C362BD">
        <w:rPr>
          <w:rFonts w:ascii="Times New Roman" w:eastAsia="Times New Roman" w:hAnsi="Times New Roman" w:cs="Times New Roman"/>
          <w:sz w:val="28"/>
          <w:szCs w:val="28"/>
          <w:lang w:eastAsia="hu-HU"/>
        </w:rPr>
        <w:t xml:space="preserve">Az új szabályozás szerint nem küldhető be élelmiszer, tisztálkodási szer, illetve – az elítélt számára meghatározott, de a </w:t>
      </w:r>
      <w:proofErr w:type="spellStart"/>
      <w:r w:rsidRPr="00C362BD">
        <w:rPr>
          <w:rFonts w:ascii="Times New Roman" w:eastAsia="Times New Roman" w:hAnsi="Times New Roman" w:cs="Times New Roman"/>
          <w:sz w:val="28"/>
          <w:szCs w:val="28"/>
          <w:lang w:eastAsia="hu-HU"/>
        </w:rPr>
        <w:t>bv</w:t>
      </w:r>
      <w:proofErr w:type="spellEnd"/>
      <w:r w:rsidRPr="00C362BD">
        <w:rPr>
          <w:rFonts w:ascii="Times New Roman" w:eastAsia="Times New Roman" w:hAnsi="Times New Roman" w:cs="Times New Roman"/>
          <w:sz w:val="28"/>
          <w:szCs w:val="28"/>
          <w:lang w:eastAsia="hu-HU"/>
        </w:rPr>
        <w:t xml:space="preserve">. intézet által biztosítani nem tudott gyógyszerek, gyógyhatású szerek kivételével – gyógyszer, gyógyászati segédeszköz vagy gyógyhatású készítmény. Fontos változás lesz, hogy az elítélt kapcsolattartója az élelmiszert, tisztálkodási szert, dohányterméket tartalmazó csomagot ellenérték megfizetése mellett a </w:t>
      </w:r>
      <w:proofErr w:type="spellStart"/>
      <w:r w:rsidRPr="00C362BD">
        <w:rPr>
          <w:rFonts w:ascii="Times New Roman" w:eastAsia="Times New Roman" w:hAnsi="Times New Roman" w:cs="Times New Roman"/>
          <w:sz w:val="28"/>
          <w:szCs w:val="28"/>
          <w:lang w:eastAsia="hu-HU"/>
        </w:rPr>
        <w:t>bv</w:t>
      </w:r>
      <w:proofErr w:type="spellEnd"/>
      <w:r w:rsidRPr="00C362BD">
        <w:rPr>
          <w:rFonts w:ascii="Times New Roman" w:eastAsia="Times New Roman" w:hAnsi="Times New Roman" w:cs="Times New Roman"/>
          <w:sz w:val="28"/>
          <w:szCs w:val="28"/>
          <w:lang w:eastAsia="hu-HU"/>
        </w:rPr>
        <w:t>. intézet területén működő, a személyes szükségletekre fordítható összeg levásárlására kijelölt üzletben állíttathatja össze jogszabályban meghatározott módon.</w:t>
      </w:r>
    </w:p>
    <w:p w:rsidR="00C362BD" w:rsidRPr="00C362BD" w:rsidRDefault="00C362BD" w:rsidP="00C362BD">
      <w:pPr>
        <w:shd w:val="clear" w:color="auto" w:fill="FFFFFF"/>
        <w:spacing w:after="288" w:line="240" w:lineRule="auto"/>
        <w:jc w:val="both"/>
        <w:rPr>
          <w:rFonts w:ascii="Times New Roman" w:eastAsia="Times New Roman" w:hAnsi="Times New Roman" w:cs="Times New Roman"/>
          <w:sz w:val="28"/>
          <w:szCs w:val="28"/>
          <w:lang w:eastAsia="hu-HU"/>
        </w:rPr>
      </w:pPr>
      <w:r w:rsidRPr="00C362BD">
        <w:rPr>
          <w:rFonts w:ascii="Times New Roman" w:eastAsia="Times New Roman" w:hAnsi="Times New Roman" w:cs="Times New Roman"/>
          <w:b/>
          <w:bCs/>
          <w:sz w:val="28"/>
          <w:szCs w:val="28"/>
          <w:lang w:eastAsia="hu-HU"/>
        </w:rPr>
        <w:t>Látogató intézeten kívüli fogadása:</w:t>
      </w:r>
      <w:r w:rsidRPr="00C362BD">
        <w:rPr>
          <w:rFonts w:ascii="Times New Roman" w:eastAsia="Times New Roman" w:hAnsi="Times New Roman" w:cs="Times New Roman"/>
          <w:sz w:val="28"/>
          <w:szCs w:val="28"/>
          <w:lang w:eastAsia="hu-HU"/>
        </w:rPr>
        <w:t> a szabadságvesztés végrehajtási fokozataira és rezsimjeire vonatkozó rendelkezések szerint annak az elítéltnek engedélyezhető, aki a szabadságvesztésből a büntetés egyharmadát letöltötte, és fegyházban legalább egy évet, börtönben legalább hat hónapot, fogházban legalább három hónapot kitöltött, vagy akit átmeneti részlegre, EVSZ (enyhébb végrehajtási szabályok) hatálya alá helyeztek. Az intézeten kívüli látogatás a szabadságvesztés időtartamába beszámít. Az elítélt kizárólag a látogató megjelenését követően távozhat az intézetből, azzal a kapcsolattartóval, akinek a látogatási értesítést küldték.</w:t>
      </w:r>
    </w:p>
    <w:p w:rsidR="00C362BD" w:rsidRPr="00C362BD" w:rsidRDefault="00C362BD" w:rsidP="00C362BD">
      <w:pPr>
        <w:shd w:val="clear" w:color="auto" w:fill="FFFFFF"/>
        <w:spacing w:after="288" w:line="240" w:lineRule="auto"/>
        <w:jc w:val="both"/>
        <w:rPr>
          <w:rFonts w:ascii="Times New Roman" w:eastAsia="Times New Roman" w:hAnsi="Times New Roman" w:cs="Times New Roman"/>
          <w:sz w:val="28"/>
          <w:szCs w:val="28"/>
          <w:lang w:eastAsia="hu-HU"/>
        </w:rPr>
      </w:pPr>
      <w:r w:rsidRPr="00C362BD">
        <w:rPr>
          <w:rFonts w:ascii="Times New Roman" w:eastAsia="Times New Roman" w:hAnsi="Times New Roman" w:cs="Times New Roman"/>
          <w:b/>
          <w:bCs/>
          <w:sz w:val="28"/>
          <w:szCs w:val="28"/>
          <w:lang w:eastAsia="hu-HU"/>
        </w:rPr>
        <w:t>Kimaradás: </w:t>
      </w:r>
      <w:r w:rsidRPr="00C362BD">
        <w:rPr>
          <w:rFonts w:ascii="Times New Roman" w:eastAsia="Times New Roman" w:hAnsi="Times New Roman" w:cs="Times New Roman"/>
          <w:sz w:val="28"/>
          <w:szCs w:val="28"/>
          <w:lang w:eastAsia="hu-HU"/>
        </w:rPr>
        <w:t xml:space="preserve">elsősorban az elítélt családi és társadalmi kapcsolatainak fenntartása, oktatásban, képzésben való részvétele, a szabadulása után a munkahelyről és a lakásról való gondoskodás elősegítése érdekében engedélyezhető annak az elítéltnek, aki a szabadságvesztésből a büntetés egyharmadát letöltötte, és fegyházban legalább egy évet, börtönben legalább hat hónapot, fogházban legalább három hónapot kitöltött, vagy akit átmeneti </w:t>
      </w:r>
      <w:r w:rsidRPr="00C362BD">
        <w:rPr>
          <w:rFonts w:ascii="Times New Roman" w:eastAsia="Times New Roman" w:hAnsi="Times New Roman" w:cs="Times New Roman"/>
          <w:sz w:val="28"/>
          <w:szCs w:val="28"/>
          <w:lang w:eastAsia="hu-HU"/>
        </w:rPr>
        <w:lastRenderedPageBreak/>
        <w:t>részlegre, vagy EVSZ hatálya alá helyeztek. Tartama a huszonnégy órát nem haladhatja meg.</w:t>
      </w:r>
    </w:p>
    <w:p w:rsidR="00C362BD" w:rsidRPr="00C362BD" w:rsidRDefault="00C362BD" w:rsidP="00C362BD">
      <w:pPr>
        <w:shd w:val="clear" w:color="auto" w:fill="FFFFFF"/>
        <w:spacing w:after="288" w:line="240" w:lineRule="auto"/>
        <w:jc w:val="both"/>
        <w:rPr>
          <w:rFonts w:ascii="Times New Roman" w:eastAsia="Times New Roman" w:hAnsi="Times New Roman" w:cs="Times New Roman"/>
          <w:sz w:val="28"/>
          <w:szCs w:val="28"/>
          <w:lang w:eastAsia="hu-HU"/>
        </w:rPr>
      </w:pPr>
      <w:r w:rsidRPr="00C362BD">
        <w:rPr>
          <w:rFonts w:ascii="Times New Roman" w:eastAsia="Times New Roman" w:hAnsi="Times New Roman" w:cs="Times New Roman"/>
          <w:b/>
          <w:bCs/>
          <w:sz w:val="28"/>
          <w:szCs w:val="28"/>
          <w:lang w:eastAsia="hu-HU"/>
        </w:rPr>
        <w:t>Eltávozás:</w:t>
      </w:r>
      <w:r w:rsidRPr="00C362BD">
        <w:rPr>
          <w:rFonts w:ascii="Times New Roman" w:eastAsia="Times New Roman" w:hAnsi="Times New Roman" w:cs="Times New Roman"/>
          <w:sz w:val="28"/>
          <w:szCs w:val="28"/>
          <w:lang w:eastAsia="hu-HU"/>
        </w:rPr>
        <w:t> akkor engedélyezhető, ha az elítélt a szabadságvesztésből a büntetés egyharmadát letöltötte, és fegyházban legalább egy évet, börtönben legalább fél évet, fogházban legalább három hónapot kitöltött. Időtartama a szabadságvesztésbe beszámít. Köteles bejelenteni, hogy az eltávozás ideje alatt hol tartózkodik.</w:t>
      </w:r>
    </w:p>
    <w:p w:rsidR="000E15BB" w:rsidRPr="00C362BD" w:rsidRDefault="000E15BB">
      <w:pPr>
        <w:rPr>
          <w:rFonts w:ascii="Times New Roman" w:hAnsi="Times New Roman" w:cs="Times New Roman"/>
          <w:sz w:val="28"/>
          <w:szCs w:val="28"/>
        </w:rPr>
      </w:pPr>
    </w:p>
    <w:sectPr w:rsidR="000E15BB" w:rsidRPr="00C36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5FC9"/>
    <w:multiLevelType w:val="hybridMultilevel"/>
    <w:tmpl w:val="BA0CD4D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53B221CE"/>
    <w:multiLevelType w:val="multilevel"/>
    <w:tmpl w:val="2374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65"/>
    <w:rsid w:val="000E15BB"/>
    <w:rsid w:val="00C362BD"/>
    <w:rsid w:val="00DD5E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C36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C362B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362BD"/>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C362B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362BD"/>
    <w:rPr>
      <w:b/>
      <w:bCs/>
    </w:rPr>
  </w:style>
  <w:style w:type="character" w:customStyle="1" w:styleId="Cmsor1Char">
    <w:name w:val="Címsor 1 Char"/>
    <w:basedOn w:val="Bekezdsalapbettpusa"/>
    <w:link w:val="Cmsor1"/>
    <w:uiPriority w:val="9"/>
    <w:rsid w:val="00C362BD"/>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34"/>
    <w:qFormat/>
    <w:rsid w:val="00C36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C36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C362B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362BD"/>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C362B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362BD"/>
    <w:rPr>
      <w:b/>
      <w:bCs/>
    </w:rPr>
  </w:style>
  <w:style w:type="character" w:customStyle="1" w:styleId="Cmsor1Char">
    <w:name w:val="Címsor 1 Char"/>
    <w:basedOn w:val="Bekezdsalapbettpusa"/>
    <w:link w:val="Cmsor1"/>
    <w:uiPriority w:val="9"/>
    <w:rsid w:val="00C362BD"/>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34"/>
    <w:qFormat/>
    <w:rsid w:val="00C36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3788">
      <w:bodyDiv w:val="1"/>
      <w:marLeft w:val="0"/>
      <w:marRight w:val="0"/>
      <w:marTop w:val="0"/>
      <w:marBottom w:val="0"/>
      <w:divBdr>
        <w:top w:val="none" w:sz="0" w:space="0" w:color="auto"/>
        <w:left w:val="none" w:sz="0" w:space="0" w:color="auto"/>
        <w:bottom w:val="none" w:sz="0" w:space="0" w:color="auto"/>
        <w:right w:val="none" w:sz="0" w:space="0" w:color="auto"/>
      </w:divBdr>
    </w:div>
    <w:div w:id="1221595007">
      <w:bodyDiv w:val="1"/>
      <w:marLeft w:val="0"/>
      <w:marRight w:val="0"/>
      <w:marTop w:val="0"/>
      <w:marBottom w:val="0"/>
      <w:divBdr>
        <w:top w:val="none" w:sz="0" w:space="0" w:color="auto"/>
        <w:left w:val="none" w:sz="0" w:space="0" w:color="auto"/>
        <w:bottom w:val="none" w:sz="0" w:space="0" w:color="auto"/>
        <w:right w:val="none" w:sz="0" w:space="0" w:color="auto"/>
      </w:divBdr>
    </w:div>
    <w:div w:id="1497112974">
      <w:bodyDiv w:val="1"/>
      <w:marLeft w:val="0"/>
      <w:marRight w:val="0"/>
      <w:marTop w:val="0"/>
      <w:marBottom w:val="0"/>
      <w:divBdr>
        <w:top w:val="none" w:sz="0" w:space="0" w:color="auto"/>
        <w:left w:val="none" w:sz="0" w:space="0" w:color="auto"/>
        <w:bottom w:val="none" w:sz="0" w:space="0" w:color="auto"/>
        <w:right w:val="none" w:sz="0" w:space="0" w:color="auto"/>
      </w:divBdr>
      <w:divsChild>
        <w:div w:id="238828840">
          <w:marLeft w:val="0"/>
          <w:marRight w:val="0"/>
          <w:marTop w:val="0"/>
          <w:marBottom w:val="0"/>
          <w:divBdr>
            <w:top w:val="none" w:sz="0" w:space="0" w:color="auto"/>
            <w:left w:val="none" w:sz="0" w:space="0" w:color="auto"/>
            <w:bottom w:val="none" w:sz="0" w:space="0" w:color="auto"/>
            <w:right w:val="none" w:sz="0" w:space="0" w:color="auto"/>
          </w:divBdr>
          <w:divsChild>
            <w:div w:id="1676031574">
              <w:marLeft w:val="0"/>
              <w:marRight w:val="0"/>
              <w:marTop w:val="0"/>
              <w:marBottom w:val="0"/>
              <w:divBdr>
                <w:top w:val="none" w:sz="0" w:space="0" w:color="auto"/>
                <w:left w:val="none" w:sz="0" w:space="0" w:color="auto"/>
                <w:bottom w:val="none" w:sz="0" w:space="0" w:color="auto"/>
                <w:right w:val="none" w:sz="0" w:space="0" w:color="auto"/>
              </w:divBdr>
              <w:divsChild>
                <w:div w:id="19199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4506</Characters>
  <Application>Microsoft Office Word</Application>
  <DocSecurity>0</DocSecurity>
  <Lines>37</Lines>
  <Paragraphs>10</Paragraphs>
  <ScaleCrop>false</ScaleCrop>
  <Company>BV</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szeker.karoly</dc:creator>
  <cp:keywords/>
  <dc:description/>
  <cp:lastModifiedBy>szeker.karoly</cp:lastModifiedBy>
  <cp:revision>2</cp:revision>
  <dcterms:created xsi:type="dcterms:W3CDTF">2021-04-08T08:11:00Z</dcterms:created>
  <dcterms:modified xsi:type="dcterms:W3CDTF">2021-04-08T08:12:00Z</dcterms:modified>
</cp:coreProperties>
</file>