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80CE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C34F34">
              <w:rPr>
                <w:rFonts w:ascii="Times New Roman" w:hAnsi="Times New Roman" w:cs="Times New Roman"/>
                <w:sz w:val="20"/>
              </w:rPr>
              <w:t>46</w:t>
            </w:r>
            <w:r w:rsidR="00ED4FA5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B75669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Nyilvántartás  a</w:t>
            </w:r>
            <w:proofErr w:type="gramEnd"/>
            <w:r w:rsidRPr="00B75669">
              <w:rPr>
                <w:rFonts w:ascii="Times New Roman" w:hAnsi="Times New Roman" w:cs="Times New Roman"/>
                <w:sz w:val="20"/>
                <w:szCs w:val="20"/>
              </w:rPr>
              <w:t xml:space="preserve">  személy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 állomány  továbbképzési  és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vezetőképzési rendszeréről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B75669" w:rsidRPr="00B75669" w:rsidRDefault="00B75669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A  személyi</w:t>
            </w:r>
            <w:proofErr w:type="gramEnd"/>
            <w:r w:rsidRPr="00B75669">
              <w:rPr>
                <w:rFonts w:ascii="Times New Roman" w:hAnsi="Times New Roman" w:cs="Times New Roman"/>
                <w:sz w:val="20"/>
                <w:szCs w:val="20"/>
              </w:rPr>
              <w:t xml:space="preserve">  állomány  tagja  által  teljesített </w:t>
            </w:r>
          </w:p>
          <w:p w:rsidR="003F60C6" w:rsidRPr="009046C6" w:rsidRDefault="00B75669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továbbképzések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B75669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törvény  288/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Q.  §;  2/2013.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I.  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 BM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rendelet  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§;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4/2019. (III. 11.) BM rendelet 28.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75669" w:rsidRPr="00B75669" w:rsidRDefault="00B75669" w:rsidP="00B7566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A  továbbképzést</w:t>
            </w:r>
            <w:proofErr w:type="gramEnd"/>
            <w:r w:rsidRPr="00B75669">
              <w:rPr>
                <w:rFonts w:ascii="Times New Roman" w:hAnsi="Times New Roman" w:cs="Times New Roman"/>
                <w:sz w:val="20"/>
                <w:szCs w:val="20"/>
              </w:rPr>
              <w:t xml:space="preserve">  teljesítő  természetes </w:t>
            </w:r>
          </w:p>
          <w:p w:rsidR="003F60C6" w:rsidRPr="003A1469" w:rsidRDefault="00B75669" w:rsidP="00B7566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B75669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B7566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Képzésre jelentkezés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A  köziratokról</w:t>
            </w:r>
            <w:proofErr w:type="gramEnd"/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  foglaltak</w:t>
            </w:r>
            <w:proofErr w:type="gramEnd"/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F80CE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80CE1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F80CE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80CE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F80CE1" w:rsidRDefault="00F80CE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CE1" w:rsidRDefault="00F80CE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F80CE1">
        <w:rPr>
          <w:rFonts w:ascii="Times New Roman" w:hAnsi="Times New Roman" w:cs="Times New Roman"/>
          <w:sz w:val="20"/>
          <w:szCs w:val="20"/>
        </w:rPr>
        <w:t>elezési cím: 1363 Budapest, Pf.</w:t>
      </w:r>
      <w:bookmarkStart w:id="0" w:name="_GoBack"/>
      <w:bookmarkEnd w:id="0"/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E1" w:rsidRDefault="00F80CE1" w:rsidP="00F80CE1">
      <w:pPr>
        <w:spacing w:after="0" w:line="240" w:lineRule="auto"/>
      </w:pPr>
      <w:r>
        <w:separator/>
      </w:r>
    </w:p>
  </w:endnote>
  <w:endnote w:type="continuationSeparator" w:id="0">
    <w:p w:rsidR="00F80CE1" w:rsidRDefault="00F80CE1" w:rsidP="00F8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659703"/>
      <w:docPartObj>
        <w:docPartGallery w:val="Page Numbers (Bottom of Page)"/>
        <w:docPartUnique/>
      </w:docPartObj>
    </w:sdtPr>
    <w:sdtContent>
      <w:p w:rsidR="00F80CE1" w:rsidRDefault="00F80CE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0CE1" w:rsidRDefault="00F80C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E1" w:rsidRDefault="00F80CE1" w:rsidP="00F80CE1">
      <w:pPr>
        <w:spacing w:after="0" w:line="240" w:lineRule="auto"/>
      </w:pPr>
      <w:r>
        <w:separator/>
      </w:r>
    </w:p>
  </w:footnote>
  <w:footnote w:type="continuationSeparator" w:id="0">
    <w:p w:rsidR="00F80CE1" w:rsidRDefault="00F80CE1" w:rsidP="00F8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23E4"/>
    <w:rsid w:val="00BE663B"/>
    <w:rsid w:val="00BF79C8"/>
    <w:rsid w:val="00C34F34"/>
    <w:rsid w:val="00C46BBD"/>
    <w:rsid w:val="00C5203E"/>
    <w:rsid w:val="00C57570"/>
    <w:rsid w:val="00CB435E"/>
    <w:rsid w:val="00D63DDC"/>
    <w:rsid w:val="00EB7FEA"/>
    <w:rsid w:val="00ED4FA5"/>
    <w:rsid w:val="00F62A39"/>
    <w:rsid w:val="00F67214"/>
    <w:rsid w:val="00F80CE1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CE1"/>
  </w:style>
  <w:style w:type="paragraph" w:styleId="llb">
    <w:name w:val="footer"/>
    <w:basedOn w:val="Norml"/>
    <w:link w:val="llb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CE1"/>
  </w:style>
  <w:style w:type="paragraph" w:styleId="llb">
    <w:name w:val="footer"/>
    <w:basedOn w:val="Norml"/>
    <w:link w:val="llb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2020-12-14T09:24:00Z</dcterms:created>
  <dcterms:modified xsi:type="dcterms:W3CDTF">2020-12-14T09:24:00Z</dcterms:modified>
</cp:coreProperties>
</file>