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977" w:rsidRDefault="00161977" w:rsidP="00161977">
      <w:pPr>
        <w:pStyle w:val="lfej"/>
        <w:jc w:val="center"/>
        <w:rPr>
          <w:rFonts w:cs="Times New Roman"/>
        </w:rPr>
      </w:pPr>
      <w:r>
        <w:rPr>
          <w:rFonts w:cs="Times New Roman"/>
          <w:noProof/>
          <w:lang w:eastAsia="hu-HU"/>
        </w:rPr>
        <w:drawing>
          <wp:inline distT="0" distB="0" distL="0" distR="0" wp14:anchorId="0E80C8BC" wp14:editId="7DA1957B">
            <wp:extent cx="455988" cy="836762"/>
            <wp:effectExtent l="0" t="0" r="1270" b="1905"/>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gyar_cimer.gif"/>
                    <pic:cNvPicPr/>
                  </pic:nvPicPr>
                  <pic:blipFill>
                    <a:blip r:embed="rId8">
                      <a:extLst>
                        <a:ext uri="{28A0092B-C50C-407E-A947-70E740481C1C}">
                          <a14:useLocalDpi xmlns:a14="http://schemas.microsoft.com/office/drawing/2010/main" val="0"/>
                        </a:ext>
                      </a:extLst>
                    </a:blip>
                    <a:stretch>
                      <a:fillRect/>
                    </a:stretch>
                  </pic:blipFill>
                  <pic:spPr>
                    <a:xfrm>
                      <a:off x="0" y="0"/>
                      <a:ext cx="457629" cy="839773"/>
                    </a:xfrm>
                    <a:prstGeom prst="rect">
                      <a:avLst/>
                    </a:prstGeom>
                  </pic:spPr>
                </pic:pic>
              </a:graphicData>
            </a:graphic>
          </wp:inline>
        </w:drawing>
      </w:r>
    </w:p>
    <w:p w:rsidR="00161977" w:rsidRDefault="00161977" w:rsidP="00161977">
      <w:pPr>
        <w:pStyle w:val="lfej"/>
        <w:jc w:val="center"/>
        <w:rPr>
          <w:rFonts w:cs="Times New Roman"/>
          <w:sz w:val="22"/>
        </w:rPr>
      </w:pPr>
      <w:r>
        <w:rPr>
          <w:rFonts w:cs="Times New Roman"/>
        </w:rPr>
        <w:t>T</w:t>
      </w:r>
      <w:r w:rsidRPr="001356F1">
        <w:rPr>
          <w:rFonts w:cs="Times New Roman"/>
          <w:sz w:val="22"/>
        </w:rPr>
        <w:t>ÖKÖLI</w:t>
      </w:r>
      <w:r>
        <w:rPr>
          <w:rFonts w:cs="Times New Roman"/>
        </w:rPr>
        <w:t xml:space="preserve"> O</w:t>
      </w:r>
      <w:r w:rsidRPr="001356F1">
        <w:rPr>
          <w:rFonts w:cs="Times New Roman"/>
          <w:sz w:val="22"/>
        </w:rPr>
        <w:t>RSZÁGOS</w:t>
      </w:r>
      <w:r>
        <w:rPr>
          <w:rFonts w:cs="Times New Roman"/>
        </w:rPr>
        <w:t xml:space="preserve"> </w:t>
      </w:r>
      <w:r w:rsidRPr="008F1075">
        <w:rPr>
          <w:rFonts w:cs="Times New Roman"/>
        </w:rPr>
        <w:t>B</w:t>
      </w:r>
      <w:r w:rsidRPr="001356F1">
        <w:rPr>
          <w:rFonts w:cs="Times New Roman"/>
          <w:sz w:val="22"/>
        </w:rPr>
        <w:t>ÜNTETÉS-VÉGREHAJTÁSI</w:t>
      </w:r>
      <w:r w:rsidRPr="001356F1">
        <w:rPr>
          <w:rFonts w:cs="Times New Roman"/>
          <w:szCs w:val="24"/>
        </w:rPr>
        <w:t xml:space="preserve"> </w:t>
      </w:r>
      <w:r w:rsidRPr="00FE3871">
        <w:rPr>
          <w:rFonts w:cs="Times New Roman"/>
          <w:szCs w:val="24"/>
        </w:rPr>
        <w:t>I</w:t>
      </w:r>
      <w:r w:rsidRPr="001356F1">
        <w:rPr>
          <w:rFonts w:cs="Times New Roman"/>
          <w:sz w:val="22"/>
        </w:rPr>
        <w:t>NTÉZET</w:t>
      </w:r>
    </w:p>
    <w:p w:rsidR="00161977" w:rsidRDefault="00161977" w:rsidP="00161977">
      <w:pPr>
        <w:pStyle w:val="lfej"/>
        <w:jc w:val="center"/>
        <w:rPr>
          <w:rFonts w:cs="Times New Roman"/>
        </w:rPr>
      </w:pPr>
      <w:r>
        <w:rPr>
          <w:rFonts w:cs="Times New Roman"/>
          <w:sz w:val="22"/>
        </w:rPr>
        <w:t xml:space="preserve">FIATALKORÚAK BÜNTETÉS-VÉGREHAJTÁSI INTÉZETE </w:t>
      </w:r>
    </w:p>
    <w:p w:rsidR="00161977" w:rsidRDefault="00161977" w:rsidP="00161977">
      <w:pPr>
        <w:spacing w:after="0" w:line="240" w:lineRule="auto"/>
        <w:jc w:val="center"/>
        <w:rPr>
          <w:rFonts w:cs="Times New Roman"/>
          <w:b/>
          <w:sz w:val="28"/>
          <w:szCs w:val="28"/>
        </w:rPr>
      </w:pPr>
    </w:p>
    <w:p w:rsidR="005F6540" w:rsidRDefault="00A33C35" w:rsidP="005F6540">
      <w:pPr>
        <w:spacing w:after="0" w:line="240" w:lineRule="auto"/>
        <w:jc w:val="center"/>
        <w:rPr>
          <w:rFonts w:cs="Times New Roman"/>
          <w:b/>
          <w:sz w:val="28"/>
          <w:szCs w:val="28"/>
        </w:rPr>
      </w:pPr>
      <w:r>
        <w:rPr>
          <w:rFonts w:cs="Times New Roman"/>
          <w:b/>
          <w:sz w:val="28"/>
          <w:szCs w:val="28"/>
        </w:rPr>
        <w:t xml:space="preserve">Érintetti tájékoztató </w:t>
      </w:r>
    </w:p>
    <w:tbl>
      <w:tblPr>
        <w:tblStyle w:val="Rcsostblzat"/>
        <w:tblW w:w="0" w:type="auto"/>
        <w:tblLook w:val="04A0" w:firstRow="1" w:lastRow="0" w:firstColumn="1" w:lastColumn="0" w:noHBand="0" w:noVBand="1"/>
      </w:tblPr>
      <w:tblGrid>
        <w:gridCol w:w="4606"/>
        <w:gridCol w:w="4606"/>
      </w:tblGrid>
      <w:tr w:rsidR="005F6540" w:rsidRPr="008F0216" w:rsidTr="005F6540">
        <w:trPr>
          <w:trHeight w:val="454"/>
        </w:trPr>
        <w:tc>
          <w:tcPr>
            <w:tcW w:w="4606" w:type="dxa"/>
          </w:tcPr>
          <w:p w:rsidR="005F6540" w:rsidRPr="008F0216" w:rsidRDefault="005F6540" w:rsidP="00400CB3">
            <w:pPr>
              <w:rPr>
                <w:rFonts w:cs="Times New Roman"/>
                <w:sz w:val="20"/>
                <w:szCs w:val="20"/>
              </w:rPr>
            </w:pPr>
            <w:r>
              <w:rPr>
                <w:rFonts w:cs="Times New Roman"/>
                <w:sz w:val="20"/>
                <w:szCs w:val="20"/>
              </w:rPr>
              <w:t xml:space="preserve">Nyilvántartási szám: </w:t>
            </w:r>
          </w:p>
        </w:tc>
        <w:tc>
          <w:tcPr>
            <w:tcW w:w="4606" w:type="dxa"/>
          </w:tcPr>
          <w:p w:rsidR="005F6540" w:rsidRPr="008F0216" w:rsidRDefault="004251EE" w:rsidP="00400CB3">
            <w:pPr>
              <w:jc w:val="both"/>
              <w:rPr>
                <w:rFonts w:cs="Times New Roman"/>
                <w:sz w:val="20"/>
                <w:szCs w:val="20"/>
              </w:rPr>
            </w:pPr>
            <w:r>
              <w:rPr>
                <w:rFonts w:cs="Times New Roman"/>
                <w:sz w:val="20"/>
                <w:szCs w:val="20"/>
              </w:rPr>
              <w:t>30513-13/20/2020.</w:t>
            </w:r>
            <w:bookmarkStart w:id="0" w:name="_GoBack"/>
            <w:bookmarkEnd w:id="0"/>
          </w:p>
        </w:tc>
      </w:tr>
      <w:tr w:rsidR="00D41E95" w:rsidTr="00917040">
        <w:trPr>
          <w:trHeight w:val="454"/>
        </w:trPr>
        <w:tc>
          <w:tcPr>
            <w:tcW w:w="4606" w:type="dxa"/>
          </w:tcPr>
          <w:p w:rsidR="00D41E95" w:rsidRPr="008F0216" w:rsidRDefault="00D41E95" w:rsidP="005F6540">
            <w:pPr>
              <w:rPr>
                <w:rFonts w:cs="Times New Roman"/>
                <w:sz w:val="20"/>
                <w:szCs w:val="20"/>
              </w:rPr>
            </w:pPr>
            <w:r>
              <w:rPr>
                <w:rFonts w:cs="Times New Roman"/>
                <w:sz w:val="20"/>
                <w:szCs w:val="20"/>
              </w:rPr>
              <w:t>Az adatkezelés megnevezése</w:t>
            </w:r>
          </w:p>
        </w:tc>
        <w:tc>
          <w:tcPr>
            <w:tcW w:w="4606" w:type="dxa"/>
          </w:tcPr>
          <w:p w:rsidR="00D41E95" w:rsidRDefault="00D41E95" w:rsidP="00917040">
            <w:pPr>
              <w:jc w:val="both"/>
              <w:rPr>
                <w:rFonts w:cs="Times New Roman"/>
                <w:sz w:val="20"/>
                <w:szCs w:val="20"/>
              </w:rPr>
            </w:pPr>
            <w:r>
              <w:rPr>
                <w:rFonts w:cs="Times New Roman"/>
                <w:sz w:val="20"/>
                <w:szCs w:val="20"/>
              </w:rPr>
              <w:t>Reintegrációs őrizetbe helyezett fogvatartottak elektronikus távfelügyelete</w:t>
            </w:r>
          </w:p>
          <w:p w:rsidR="00D41E95" w:rsidRPr="008F0216" w:rsidRDefault="00D41E95" w:rsidP="00917040">
            <w:pPr>
              <w:jc w:val="both"/>
              <w:rPr>
                <w:rFonts w:cs="Times New Roman"/>
                <w:sz w:val="20"/>
                <w:szCs w:val="20"/>
              </w:rPr>
            </w:pPr>
          </w:p>
        </w:tc>
      </w:tr>
      <w:tr w:rsidR="00D41E95" w:rsidTr="00917040">
        <w:trPr>
          <w:trHeight w:val="454"/>
        </w:trPr>
        <w:tc>
          <w:tcPr>
            <w:tcW w:w="4606" w:type="dxa"/>
          </w:tcPr>
          <w:p w:rsidR="00D41E95" w:rsidRPr="008F0216" w:rsidRDefault="00D41E95" w:rsidP="005F6540">
            <w:pPr>
              <w:rPr>
                <w:rFonts w:cs="Times New Roman"/>
                <w:sz w:val="20"/>
                <w:szCs w:val="20"/>
              </w:rPr>
            </w:pPr>
            <w:r>
              <w:rPr>
                <w:rFonts w:cs="Times New Roman"/>
                <w:sz w:val="20"/>
                <w:szCs w:val="20"/>
              </w:rPr>
              <w:t>Az adatkezelés célja</w:t>
            </w:r>
          </w:p>
        </w:tc>
        <w:tc>
          <w:tcPr>
            <w:tcW w:w="4606" w:type="dxa"/>
          </w:tcPr>
          <w:p w:rsidR="00D41E95" w:rsidRDefault="00D41E95" w:rsidP="00917040">
            <w:pPr>
              <w:jc w:val="both"/>
              <w:rPr>
                <w:sz w:val="20"/>
                <w:szCs w:val="20"/>
              </w:rPr>
            </w:pPr>
            <w:r>
              <w:rPr>
                <w:rFonts w:cs="Times New Roman"/>
                <w:sz w:val="20"/>
                <w:szCs w:val="20"/>
              </w:rPr>
              <w:t>Az intézetből reintegrációs őrizetbe távozott fogvatartottak ellenőrzése</w:t>
            </w:r>
          </w:p>
          <w:p w:rsidR="00D41E95" w:rsidRPr="004C6DE7" w:rsidRDefault="00D41E95" w:rsidP="00917040">
            <w:pPr>
              <w:jc w:val="both"/>
              <w:rPr>
                <w:rFonts w:cs="Times New Roman"/>
                <w:sz w:val="20"/>
                <w:szCs w:val="20"/>
              </w:rPr>
            </w:pPr>
          </w:p>
        </w:tc>
      </w:tr>
      <w:tr w:rsidR="00D41E95" w:rsidRPr="001467A8" w:rsidTr="00917040">
        <w:trPr>
          <w:trHeight w:val="454"/>
        </w:trPr>
        <w:tc>
          <w:tcPr>
            <w:tcW w:w="4606" w:type="dxa"/>
          </w:tcPr>
          <w:p w:rsidR="00D41E95" w:rsidRPr="008F0216" w:rsidRDefault="00D41E95" w:rsidP="005F6540">
            <w:pPr>
              <w:rPr>
                <w:rFonts w:cs="Times New Roman"/>
                <w:sz w:val="20"/>
                <w:szCs w:val="20"/>
              </w:rPr>
            </w:pPr>
            <w:r>
              <w:rPr>
                <w:rFonts w:cs="Times New Roman"/>
                <w:sz w:val="20"/>
                <w:szCs w:val="20"/>
              </w:rPr>
              <w:t>Az adatkezelés jogalapja</w:t>
            </w:r>
          </w:p>
        </w:tc>
        <w:tc>
          <w:tcPr>
            <w:tcW w:w="4606" w:type="dxa"/>
          </w:tcPr>
          <w:p w:rsidR="00D41E95" w:rsidRDefault="00D41E95" w:rsidP="00917040">
            <w:pPr>
              <w:jc w:val="both"/>
              <w:rPr>
                <w:rFonts w:cs="Times New Roman"/>
                <w:sz w:val="20"/>
                <w:szCs w:val="20"/>
              </w:rPr>
            </w:pPr>
            <w:r w:rsidRPr="001467A8">
              <w:rPr>
                <w:rFonts w:cs="Times New Roman"/>
                <w:sz w:val="20"/>
                <w:szCs w:val="20"/>
              </w:rPr>
              <w:t xml:space="preserve">A jogalkotásról szóló 2010. évi CXXX. törvény 23. § (4) bekezdés c) pontja alapján – figyelemmel a büntetések, az intézkedések, egyes kényszerintézkedések és a szabálysértési elzárás végrehajtásáról szóló 2013. évi CCXL. törvény, a szabadságvesztés, az elzárás, az előzetes letartóztatás és a rendbírság helyébe lépő elzárás végrehajtásának részletes szabályairól szóló 16/2014. (XII. 19.) IM rendelet, a Pártfogó Felügyelői Szolgálat tevékenységéről szóló 8/2013. (VI. 29.) KIM rendelet, az elektronikus távfelügyeleti eszköz működését biztosító rendszer létesítésének és üzemeltetésének, az elektronikus távfelügyeleti eszköz alkalmazásának, továbbá a büntetés-végrehajtási szervezet, valamint a rendőri szerv ezzel kapcsolatos feladatának részletes szabályairól szóló 10/2015. (III. 30.) BM rendelet előírásaira – a büntetés-végrehajtási szervezet elektronikus távfelügyeleti rendszer működtetésével összefüggő feladatok végrehajtására </w:t>
            </w:r>
          </w:p>
          <w:p w:rsidR="00D41E95" w:rsidRPr="008F0216" w:rsidRDefault="00D41E95" w:rsidP="00917040">
            <w:pPr>
              <w:jc w:val="both"/>
              <w:rPr>
                <w:rFonts w:cs="Times New Roman"/>
                <w:sz w:val="20"/>
                <w:szCs w:val="20"/>
              </w:rPr>
            </w:pPr>
            <w:r>
              <w:rPr>
                <w:rFonts w:cs="Times New Roman"/>
                <w:sz w:val="20"/>
                <w:szCs w:val="20"/>
              </w:rPr>
              <w:t>Bírói végzés</w:t>
            </w:r>
          </w:p>
        </w:tc>
      </w:tr>
      <w:tr w:rsidR="00D41E95" w:rsidTr="00917040">
        <w:trPr>
          <w:trHeight w:val="454"/>
        </w:trPr>
        <w:tc>
          <w:tcPr>
            <w:tcW w:w="4606" w:type="dxa"/>
          </w:tcPr>
          <w:p w:rsidR="00D41E95" w:rsidRPr="008F0216" w:rsidRDefault="00D41E95" w:rsidP="005F6540">
            <w:pPr>
              <w:rPr>
                <w:rFonts w:cs="Times New Roman"/>
                <w:sz w:val="20"/>
                <w:szCs w:val="20"/>
              </w:rPr>
            </w:pPr>
            <w:r>
              <w:rPr>
                <w:rFonts w:cs="Times New Roman"/>
                <w:sz w:val="20"/>
                <w:szCs w:val="20"/>
              </w:rPr>
              <w:t>Az adatok fajtája</w:t>
            </w:r>
          </w:p>
        </w:tc>
        <w:tc>
          <w:tcPr>
            <w:tcW w:w="4606" w:type="dxa"/>
          </w:tcPr>
          <w:p w:rsidR="00D41E95" w:rsidRPr="008F0216" w:rsidRDefault="00D41E95" w:rsidP="00917040">
            <w:pPr>
              <w:jc w:val="both"/>
              <w:rPr>
                <w:rFonts w:cs="Times New Roman"/>
                <w:sz w:val="20"/>
                <w:szCs w:val="20"/>
              </w:rPr>
            </w:pPr>
            <w:r>
              <w:rPr>
                <w:rFonts w:cs="Times New Roman"/>
                <w:sz w:val="20"/>
                <w:szCs w:val="20"/>
              </w:rPr>
              <w:t>személyes adatok</w:t>
            </w:r>
          </w:p>
        </w:tc>
      </w:tr>
      <w:tr w:rsidR="00D41E95" w:rsidTr="00917040">
        <w:trPr>
          <w:trHeight w:val="454"/>
        </w:trPr>
        <w:tc>
          <w:tcPr>
            <w:tcW w:w="4606" w:type="dxa"/>
          </w:tcPr>
          <w:p w:rsidR="00D41E95" w:rsidRPr="008F0216" w:rsidRDefault="00D41E95" w:rsidP="005F6540">
            <w:pPr>
              <w:rPr>
                <w:rFonts w:cs="Times New Roman"/>
                <w:sz w:val="20"/>
                <w:szCs w:val="20"/>
              </w:rPr>
            </w:pPr>
            <w:r>
              <w:rPr>
                <w:rFonts w:cs="Times New Roman"/>
                <w:sz w:val="20"/>
                <w:szCs w:val="20"/>
              </w:rPr>
              <w:t>Az érintettek köre</w:t>
            </w:r>
          </w:p>
        </w:tc>
        <w:tc>
          <w:tcPr>
            <w:tcW w:w="4606" w:type="dxa"/>
          </w:tcPr>
          <w:p w:rsidR="00D41E95" w:rsidRPr="008F0216" w:rsidRDefault="00D41E95" w:rsidP="00917040">
            <w:pPr>
              <w:jc w:val="both"/>
              <w:rPr>
                <w:rFonts w:cs="Times New Roman"/>
                <w:sz w:val="20"/>
                <w:szCs w:val="20"/>
              </w:rPr>
            </w:pPr>
            <w:r>
              <w:rPr>
                <w:rFonts w:cs="Times New Roman"/>
                <w:sz w:val="20"/>
                <w:szCs w:val="20"/>
              </w:rPr>
              <w:t>Reintegrációs őrizetbe helyezettek</w:t>
            </w:r>
          </w:p>
        </w:tc>
      </w:tr>
      <w:tr w:rsidR="00D41E95" w:rsidTr="00917040">
        <w:trPr>
          <w:trHeight w:val="454"/>
        </w:trPr>
        <w:tc>
          <w:tcPr>
            <w:tcW w:w="4606" w:type="dxa"/>
          </w:tcPr>
          <w:p w:rsidR="00D41E95" w:rsidRPr="008F0216" w:rsidRDefault="00D41E95" w:rsidP="005F6540">
            <w:pPr>
              <w:rPr>
                <w:rFonts w:cs="Times New Roman"/>
                <w:sz w:val="20"/>
                <w:szCs w:val="20"/>
              </w:rPr>
            </w:pPr>
            <w:r>
              <w:rPr>
                <w:rFonts w:cs="Times New Roman"/>
                <w:sz w:val="20"/>
                <w:szCs w:val="20"/>
              </w:rPr>
              <w:t>Az adatok forrása</w:t>
            </w:r>
          </w:p>
        </w:tc>
        <w:tc>
          <w:tcPr>
            <w:tcW w:w="4606" w:type="dxa"/>
          </w:tcPr>
          <w:p w:rsidR="00D41E95" w:rsidRPr="008F0216" w:rsidRDefault="00D41E95" w:rsidP="00917040">
            <w:pPr>
              <w:jc w:val="both"/>
              <w:rPr>
                <w:rFonts w:cs="Times New Roman"/>
                <w:sz w:val="20"/>
                <w:szCs w:val="20"/>
              </w:rPr>
            </w:pPr>
            <w:r>
              <w:rPr>
                <w:rFonts w:cs="Times New Roman"/>
                <w:sz w:val="20"/>
                <w:szCs w:val="20"/>
              </w:rPr>
              <w:t>Bírói végzésben lévő adatok, őrizetes által közölt adatok</w:t>
            </w:r>
          </w:p>
        </w:tc>
      </w:tr>
      <w:tr w:rsidR="00D41E95" w:rsidTr="00917040">
        <w:trPr>
          <w:trHeight w:val="454"/>
        </w:trPr>
        <w:tc>
          <w:tcPr>
            <w:tcW w:w="4606" w:type="dxa"/>
          </w:tcPr>
          <w:p w:rsidR="00D41E95" w:rsidRPr="008F0216" w:rsidRDefault="00D41E95" w:rsidP="005F6540">
            <w:pPr>
              <w:rPr>
                <w:rFonts w:cs="Times New Roman"/>
                <w:sz w:val="20"/>
                <w:szCs w:val="20"/>
              </w:rPr>
            </w:pPr>
            <w:r>
              <w:rPr>
                <w:rFonts w:cs="Times New Roman"/>
                <w:sz w:val="20"/>
                <w:szCs w:val="20"/>
              </w:rPr>
              <w:t>A továbbított adatok fajtája</w:t>
            </w:r>
          </w:p>
        </w:tc>
        <w:tc>
          <w:tcPr>
            <w:tcW w:w="4606" w:type="dxa"/>
          </w:tcPr>
          <w:p w:rsidR="00D41E95" w:rsidRPr="008F0216" w:rsidRDefault="00D41E95" w:rsidP="00917040">
            <w:pPr>
              <w:jc w:val="both"/>
              <w:rPr>
                <w:rFonts w:cs="Times New Roman"/>
                <w:sz w:val="20"/>
                <w:szCs w:val="20"/>
              </w:rPr>
            </w:pPr>
          </w:p>
        </w:tc>
      </w:tr>
      <w:tr w:rsidR="00D41E95" w:rsidTr="00917040">
        <w:trPr>
          <w:trHeight w:val="454"/>
        </w:trPr>
        <w:tc>
          <w:tcPr>
            <w:tcW w:w="4606" w:type="dxa"/>
          </w:tcPr>
          <w:p w:rsidR="00D41E95" w:rsidRPr="008F0216" w:rsidRDefault="00D41E95" w:rsidP="005F6540">
            <w:pPr>
              <w:rPr>
                <w:rFonts w:cs="Times New Roman"/>
                <w:sz w:val="20"/>
                <w:szCs w:val="20"/>
              </w:rPr>
            </w:pPr>
            <w:r>
              <w:rPr>
                <w:rFonts w:cs="Times New Roman"/>
                <w:sz w:val="20"/>
                <w:szCs w:val="20"/>
              </w:rPr>
              <w:t>A továbbított adatok címzettje</w:t>
            </w:r>
          </w:p>
        </w:tc>
        <w:tc>
          <w:tcPr>
            <w:tcW w:w="4606" w:type="dxa"/>
          </w:tcPr>
          <w:p w:rsidR="00D41E95" w:rsidRPr="008F0216" w:rsidRDefault="00D41E95" w:rsidP="00917040">
            <w:pPr>
              <w:jc w:val="both"/>
              <w:rPr>
                <w:rFonts w:cs="Times New Roman"/>
                <w:sz w:val="20"/>
                <w:szCs w:val="20"/>
              </w:rPr>
            </w:pPr>
          </w:p>
        </w:tc>
      </w:tr>
      <w:tr w:rsidR="00D41E95" w:rsidTr="00917040">
        <w:trPr>
          <w:trHeight w:val="454"/>
        </w:trPr>
        <w:tc>
          <w:tcPr>
            <w:tcW w:w="4606" w:type="dxa"/>
          </w:tcPr>
          <w:p w:rsidR="00D41E95" w:rsidRPr="008F0216" w:rsidRDefault="00D41E95" w:rsidP="005F6540">
            <w:pPr>
              <w:rPr>
                <w:rFonts w:cs="Times New Roman"/>
                <w:sz w:val="20"/>
                <w:szCs w:val="20"/>
              </w:rPr>
            </w:pPr>
            <w:r>
              <w:rPr>
                <w:rFonts w:cs="Times New Roman"/>
                <w:sz w:val="20"/>
                <w:szCs w:val="20"/>
              </w:rPr>
              <w:t>Az adattovábbítás jogalapja</w:t>
            </w:r>
          </w:p>
        </w:tc>
        <w:tc>
          <w:tcPr>
            <w:tcW w:w="4606" w:type="dxa"/>
          </w:tcPr>
          <w:p w:rsidR="00D41E95" w:rsidRPr="008F0216" w:rsidRDefault="00D41E95" w:rsidP="00917040">
            <w:pPr>
              <w:jc w:val="both"/>
              <w:rPr>
                <w:rFonts w:cs="Times New Roman"/>
                <w:sz w:val="20"/>
                <w:szCs w:val="20"/>
              </w:rPr>
            </w:pPr>
          </w:p>
        </w:tc>
      </w:tr>
      <w:tr w:rsidR="00D41E95" w:rsidTr="00917040">
        <w:trPr>
          <w:trHeight w:val="454"/>
        </w:trPr>
        <w:tc>
          <w:tcPr>
            <w:tcW w:w="4606" w:type="dxa"/>
          </w:tcPr>
          <w:p w:rsidR="00D41E95" w:rsidRPr="008F0216" w:rsidRDefault="00D41E95" w:rsidP="005F6540">
            <w:pPr>
              <w:rPr>
                <w:rFonts w:cs="Times New Roman"/>
                <w:sz w:val="20"/>
                <w:szCs w:val="20"/>
              </w:rPr>
            </w:pPr>
            <w:r>
              <w:rPr>
                <w:rFonts w:cs="Times New Roman"/>
                <w:sz w:val="20"/>
                <w:szCs w:val="20"/>
              </w:rPr>
              <w:t>Az egyes adatfajták törlési határideje</w:t>
            </w:r>
          </w:p>
        </w:tc>
        <w:tc>
          <w:tcPr>
            <w:tcW w:w="4606" w:type="dxa"/>
          </w:tcPr>
          <w:p w:rsidR="00D41E95" w:rsidRPr="008F0216" w:rsidRDefault="00D41E95" w:rsidP="00917040">
            <w:pPr>
              <w:jc w:val="both"/>
              <w:rPr>
                <w:rFonts w:cs="Times New Roman"/>
                <w:sz w:val="20"/>
                <w:szCs w:val="20"/>
              </w:rPr>
            </w:pPr>
            <w:r>
              <w:rPr>
                <w:rFonts w:cs="Times New Roman"/>
                <w:sz w:val="20"/>
                <w:szCs w:val="20"/>
              </w:rPr>
              <w:t>reintegrációs őrizet befejezésekor</w:t>
            </w:r>
          </w:p>
        </w:tc>
      </w:tr>
      <w:tr w:rsidR="00D41E95" w:rsidTr="00917040">
        <w:trPr>
          <w:trHeight w:val="454"/>
        </w:trPr>
        <w:tc>
          <w:tcPr>
            <w:tcW w:w="4606" w:type="dxa"/>
          </w:tcPr>
          <w:p w:rsidR="00D41E95" w:rsidRPr="008F0216" w:rsidRDefault="00D41E95" w:rsidP="005F6540">
            <w:pPr>
              <w:rPr>
                <w:rFonts w:cs="Times New Roman"/>
                <w:sz w:val="20"/>
                <w:szCs w:val="20"/>
              </w:rPr>
            </w:pPr>
            <w:r>
              <w:rPr>
                <w:rFonts w:cs="Times New Roman"/>
                <w:sz w:val="20"/>
                <w:szCs w:val="20"/>
              </w:rPr>
              <w:t>Az adatkezelő neve és címe (székhelye)</w:t>
            </w:r>
          </w:p>
        </w:tc>
        <w:tc>
          <w:tcPr>
            <w:tcW w:w="4606" w:type="dxa"/>
          </w:tcPr>
          <w:p w:rsidR="00D41E95" w:rsidRPr="008F0216" w:rsidRDefault="00D41E95" w:rsidP="00917040">
            <w:pPr>
              <w:jc w:val="both"/>
              <w:rPr>
                <w:rFonts w:cs="Times New Roman"/>
                <w:sz w:val="20"/>
                <w:szCs w:val="20"/>
              </w:rPr>
            </w:pPr>
            <w:r>
              <w:rPr>
                <w:rFonts w:cs="Times New Roman"/>
                <w:sz w:val="20"/>
                <w:szCs w:val="20"/>
              </w:rPr>
              <w:t>Tököli Országos Bv. Intézet,   2316 Tököl, Ráckevei út 6.</w:t>
            </w:r>
          </w:p>
        </w:tc>
      </w:tr>
      <w:tr w:rsidR="00D41E95" w:rsidTr="00917040">
        <w:trPr>
          <w:trHeight w:val="567"/>
        </w:trPr>
        <w:tc>
          <w:tcPr>
            <w:tcW w:w="4606" w:type="dxa"/>
          </w:tcPr>
          <w:p w:rsidR="00D41E95" w:rsidRDefault="00D41E95" w:rsidP="005F6540">
            <w:pPr>
              <w:rPr>
                <w:rFonts w:cs="Times New Roman"/>
                <w:sz w:val="20"/>
                <w:szCs w:val="20"/>
              </w:rPr>
            </w:pPr>
            <w:r>
              <w:rPr>
                <w:rFonts w:cs="Times New Roman"/>
                <w:sz w:val="20"/>
                <w:szCs w:val="20"/>
              </w:rPr>
              <w:t>A tényleges adatkezelés helye, illetve az adatfeldolgozás helye</w:t>
            </w:r>
          </w:p>
        </w:tc>
        <w:tc>
          <w:tcPr>
            <w:tcW w:w="4606" w:type="dxa"/>
          </w:tcPr>
          <w:p w:rsidR="00D41E95" w:rsidRPr="008F0216" w:rsidRDefault="00D41E95" w:rsidP="00917040">
            <w:pPr>
              <w:jc w:val="both"/>
              <w:rPr>
                <w:rFonts w:cs="Times New Roman"/>
                <w:sz w:val="20"/>
                <w:szCs w:val="20"/>
              </w:rPr>
            </w:pPr>
            <w:r>
              <w:rPr>
                <w:rFonts w:cs="Times New Roman"/>
                <w:sz w:val="20"/>
                <w:szCs w:val="20"/>
              </w:rPr>
              <w:t>Informatikai Osztály</w:t>
            </w:r>
          </w:p>
        </w:tc>
      </w:tr>
      <w:tr w:rsidR="005F6540" w:rsidRPr="008F0216" w:rsidTr="005F6540">
        <w:trPr>
          <w:trHeight w:val="567"/>
        </w:trPr>
        <w:tc>
          <w:tcPr>
            <w:tcW w:w="4606" w:type="dxa"/>
          </w:tcPr>
          <w:p w:rsidR="005F6540" w:rsidRDefault="005F6540" w:rsidP="00400CB3">
            <w:pPr>
              <w:rPr>
                <w:rFonts w:cs="Times New Roman"/>
                <w:sz w:val="20"/>
                <w:szCs w:val="20"/>
              </w:rPr>
            </w:pPr>
            <w:r>
              <w:rPr>
                <w:rFonts w:cs="Times New Roman"/>
                <w:sz w:val="20"/>
                <w:szCs w:val="20"/>
              </w:rPr>
              <w:t xml:space="preserve">Az adatkezelés jogszerűsége és a személyes adatok megfelelő szintű biztonsága érdekében végrehajtott műszaki és szervezési biztonsági intézkedések </w:t>
            </w:r>
            <w:r>
              <w:rPr>
                <w:rFonts w:cs="Times New Roman"/>
                <w:sz w:val="20"/>
                <w:szCs w:val="20"/>
              </w:rPr>
              <w:lastRenderedPageBreak/>
              <w:t>általános leírása</w:t>
            </w:r>
            <w:r>
              <w:rPr>
                <w:rStyle w:val="Lbjegyzet-hivatkozs"/>
                <w:rFonts w:cs="Times New Roman"/>
                <w:sz w:val="20"/>
                <w:szCs w:val="20"/>
              </w:rPr>
              <w:footnoteReference w:id="1"/>
            </w:r>
          </w:p>
        </w:tc>
        <w:tc>
          <w:tcPr>
            <w:tcW w:w="4606" w:type="dxa"/>
          </w:tcPr>
          <w:p w:rsidR="005F6540" w:rsidRPr="008F0216" w:rsidRDefault="005F6540" w:rsidP="00400CB3">
            <w:pPr>
              <w:jc w:val="both"/>
              <w:rPr>
                <w:rFonts w:cs="Times New Roman"/>
                <w:sz w:val="20"/>
                <w:szCs w:val="20"/>
              </w:rPr>
            </w:pPr>
            <w:r>
              <w:rPr>
                <w:rFonts w:cs="Times New Roman"/>
                <w:sz w:val="20"/>
                <w:szCs w:val="20"/>
              </w:rPr>
              <w:lastRenderedPageBreak/>
              <w:t xml:space="preserve">A büntetés-végrehajtási szervezet Adatvédelmi és Adatbiztonsági Szabályzatában, Egységes Iratkezelési Szabályzatában, valamint Informatikai Biztonsági </w:t>
            </w:r>
            <w:r>
              <w:rPr>
                <w:rFonts w:cs="Times New Roman"/>
                <w:sz w:val="20"/>
                <w:szCs w:val="20"/>
              </w:rPr>
              <w:lastRenderedPageBreak/>
              <w:t xml:space="preserve">Szabályzatában foglalt intézkedések, </w:t>
            </w:r>
          </w:p>
        </w:tc>
      </w:tr>
    </w:tbl>
    <w:p w:rsidR="00161977" w:rsidRDefault="00161977" w:rsidP="00161977">
      <w:pPr>
        <w:spacing w:after="0" w:line="240" w:lineRule="auto"/>
        <w:rPr>
          <w:rFonts w:cs="Times New Roman"/>
          <w:szCs w:val="24"/>
        </w:rPr>
      </w:pPr>
    </w:p>
    <w:p w:rsidR="00A33C35" w:rsidRDefault="00A33C35" w:rsidP="00A33C35">
      <w:pPr>
        <w:spacing w:after="0" w:line="240" w:lineRule="auto"/>
        <w:jc w:val="both"/>
        <w:rPr>
          <w:rFonts w:cs="Times New Roman"/>
          <w:sz w:val="20"/>
          <w:szCs w:val="24"/>
        </w:rPr>
      </w:pPr>
      <w:r>
        <w:rPr>
          <w:rFonts w:cs="Times New Roman"/>
          <w:sz w:val="20"/>
          <w:szCs w:val="24"/>
        </w:rPr>
        <w:t>Az adatkezelő az érintett személyek személyes adatait eltérő célra nem használja fel.</w:t>
      </w:r>
    </w:p>
    <w:p w:rsidR="00A33C35" w:rsidRDefault="00A33C35" w:rsidP="00A33C35">
      <w:pPr>
        <w:spacing w:after="0" w:line="240" w:lineRule="auto"/>
        <w:jc w:val="both"/>
        <w:rPr>
          <w:rFonts w:cs="Times New Roman"/>
          <w:sz w:val="20"/>
          <w:szCs w:val="24"/>
        </w:rPr>
      </w:pPr>
    </w:p>
    <w:p w:rsidR="00A33C35" w:rsidRDefault="00A33C35" w:rsidP="00A33C35">
      <w:pPr>
        <w:spacing w:after="0" w:line="240" w:lineRule="auto"/>
        <w:jc w:val="both"/>
        <w:rPr>
          <w:rFonts w:cs="Times New Roman"/>
          <w:sz w:val="20"/>
          <w:szCs w:val="20"/>
        </w:rPr>
      </w:pPr>
      <w:r>
        <w:rPr>
          <w:rFonts w:cs="Times New Roman"/>
          <w:sz w:val="20"/>
          <w:szCs w:val="20"/>
        </w:rPr>
        <w:t>Az adatkezeléssel kapcsolatos jogok és jogorvoslati lehetőségek</w:t>
      </w:r>
    </w:p>
    <w:p w:rsidR="00A33C35" w:rsidRDefault="00A33C35" w:rsidP="00A33C35">
      <w:pPr>
        <w:spacing w:after="0" w:line="240" w:lineRule="auto"/>
        <w:jc w:val="both"/>
        <w:rPr>
          <w:rFonts w:cs="Times New Roman"/>
          <w:sz w:val="20"/>
          <w:szCs w:val="20"/>
        </w:rPr>
      </w:pPr>
    </w:p>
    <w:p w:rsidR="00A33C35" w:rsidRDefault="00A33C35" w:rsidP="00A33C35">
      <w:pPr>
        <w:spacing w:after="0" w:line="240" w:lineRule="auto"/>
        <w:jc w:val="both"/>
        <w:rPr>
          <w:rFonts w:cs="Times New Roman"/>
          <w:sz w:val="20"/>
          <w:szCs w:val="20"/>
        </w:rPr>
      </w:pPr>
      <w:r>
        <w:rPr>
          <w:rFonts w:cs="Times New Roman"/>
          <w:sz w:val="20"/>
          <w:szCs w:val="20"/>
        </w:rPr>
        <w:t>A GDPR 15-18. cikkében foglaltaknak megfelelően az adatkezeléssel összefüggésben az adatkezelő adatvédelmi tisztviselőjén keresztül jogosult:</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hozzáférési jog érvényesülése érdekében tájékoztatást kérni személyes adatai kezeléséről, valamint kérni a kezelt személyes adatok rendelkezésre bocsátását,</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helyesbítéshez való jog érvényesülése érdekében pontatlan adatok esetén helyesbítést vagy a hiányos adatok kiegészítését kérni,</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törléshez való jog érvényesülése érdekében kérni a hozzájárulás alapján kezelt adatok törlését,</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tiltakozáshoz való jog érvényesülése érdekében az adatkezelőre ruházott közhatalmi jogosítvány gyakorlásának keretében végzett feladata végrehajtásához szükséges, továbbá a jogos érdeken alapuló adatkezelés esetén adatai kezelése ellen tiltakozni,</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korlátozásához való jog érvényesülése érdekében kérni az adatkezelés korlátozását.</w:t>
      </w:r>
    </w:p>
    <w:p w:rsidR="00A33C35" w:rsidRDefault="00A33C35" w:rsidP="00A33C35">
      <w:pPr>
        <w:spacing w:after="0" w:line="240" w:lineRule="auto"/>
        <w:jc w:val="both"/>
        <w:rPr>
          <w:rFonts w:cs="Times New Roman"/>
          <w:sz w:val="20"/>
          <w:szCs w:val="20"/>
        </w:rPr>
      </w:pPr>
    </w:p>
    <w:p w:rsidR="00A33C35" w:rsidRDefault="00A33C35" w:rsidP="00A33C35">
      <w:pPr>
        <w:spacing w:after="0" w:line="240" w:lineRule="auto"/>
        <w:jc w:val="both"/>
        <w:rPr>
          <w:rFonts w:cs="Times New Roman"/>
          <w:sz w:val="20"/>
          <w:szCs w:val="20"/>
        </w:rPr>
      </w:pPr>
      <w:r>
        <w:rPr>
          <w:rFonts w:cs="Times New Roman"/>
          <w:sz w:val="20"/>
          <w:szCs w:val="20"/>
        </w:rPr>
        <w:t>Hozzájáruláson alapuló adatkezelés esetén jogosult a hozzájárulás bármely időpontban történő visszavonásához, mely nem érinti a visszavonás előtt a hozzájárulás alapján végrehajtott adatkezelés jogszerűségét.</w:t>
      </w:r>
    </w:p>
    <w:p w:rsidR="00A33C35" w:rsidRDefault="00A33C35" w:rsidP="00A33C35">
      <w:pPr>
        <w:spacing w:after="0" w:line="240" w:lineRule="auto"/>
        <w:jc w:val="both"/>
        <w:rPr>
          <w:rFonts w:cs="Times New Roman"/>
          <w:sz w:val="20"/>
          <w:szCs w:val="20"/>
        </w:rPr>
      </w:pPr>
    </w:p>
    <w:p w:rsidR="00A33C35" w:rsidRDefault="00A33C35" w:rsidP="00A33C35">
      <w:pPr>
        <w:spacing w:after="0" w:line="240" w:lineRule="auto"/>
        <w:jc w:val="both"/>
        <w:rPr>
          <w:rFonts w:cs="Times New Roman"/>
          <w:sz w:val="20"/>
          <w:szCs w:val="20"/>
        </w:rPr>
      </w:pPr>
      <w:r>
        <w:rPr>
          <w:rFonts w:cs="Times New Roman"/>
          <w:sz w:val="20"/>
          <w:szCs w:val="20"/>
        </w:rPr>
        <w:t xml:space="preserve">Tájékoztatás kérése alapján – amennyiben az nem esik törvényben meghatározott érdekből korlátozás alá – megismerheti, hogy személyes adatainak kezelése folyamatban van-e az adatkezelőnél, és jogosult arra, hogy a rá vonatkozóan kezelt adatok kapcsán tájékoztatást kapjon </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céljáról,</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adatkezelés jogalapjáról, </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időtartamáról,</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kezelt adatok köréről, amelyek másolatát kérelemre az érintett rendelkezésére bocsátja,</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 címzettjeiről, illetve a címzettek kategóriáiról,</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harmadik országba vagy nemzetközi szervezet részére történő továbbításról,</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az adatok forrásáról, amennyiben azokat nem az érintettől gyűjtötte, </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automatizált döntéshozatal jellemzőiről, ha ilyet alkalmaz az adatkezelő,</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adatkezeléssel kapcsolatos érintetti jogairól,</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jogorvoslati lehetőségeiről.</w:t>
      </w:r>
    </w:p>
    <w:p w:rsidR="00A33C35" w:rsidRDefault="00A33C35" w:rsidP="00A33C35">
      <w:pPr>
        <w:spacing w:after="0" w:line="240" w:lineRule="auto"/>
        <w:ind w:left="360"/>
        <w:jc w:val="both"/>
        <w:rPr>
          <w:rFonts w:cs="Times New Roman"/>
          <w:sz w:val="20"/>
          <w:szCs w:val="20"/>
        </w:rPr>
      </w:pPr>
    </w:p>
    <w:p w:rsidR="00A33C35" w:rsidRDefault="00A33C35" w:rsidP="00A33C35">
      <w:pPr>
        <w:spacing w:after="0" w:line="240" w:lineRule="auto"/>
        <w:jc w:val="both"/>
        <w:rPr>
          <w:rFonts w:cs="Times New Roman"/>
          <w:sz w:val="20"/>
          <w:szCs w:val="20"/>
        </w:rPr>
      </w:pPr>
      <w:r>
        <w:rPr>
          <w:rFonts w:cs="Times New Roman"/>
          <w:sz w:val="20"/>
          <w:szCs w:val="20"/>
        </w:rPr>
        <w:t>A tájékoztatás iránti és az intézkedésre irányuló kérelmek ügyintézési határideje egy hónap, mely indokolt esetben két hónappal meghosszabbítható. A tájékoztatás és a kérelem alapján tett intézkedés díjmentes, azonban az egyértelműen megalapozatlan vagy túlzó kérelem esetén a tájékoztatás nyújtásával vagy a kért intézkedés meghozatalával járó adminisztratív költségekre észszerű összegű díj számítható fel vagy a kérelem alapján történő intézkedés megtagadható.</w:t>
      </w:r>
    </w:p>
    <w:p w:rsidR="00A33C35" w:rsidRDefault="00A33C35" w:rsidP="00A33C35">
      <w:pPr>
        <w:spacing w:after="0" w:line="240" w:lineRule="auto"/>
        <w:jc w:val="both"/>
        <w:rPr>
          <w:rFonts w:cs="Times New Roman"/>
          <w:sz w:val="20"/>
          <w:szCs w:val="20"/>
        </w:rPr>
      </w:pPr>
    </w:p>
    <w:p w:rsidR="00A33C35" w:rsidRDefault="00A33C35" w:rsidP="00A33C35">
      <w:pPr>
        <w:spacing w:after="0" w:line="240" w:lineRule="auto"/>
        <w:jc w:val="both"/>
        <w:rPr>
          <w:rFonts w:cs="Times New Roman"/>
          <w:sz w:val="20"/>
          <w:szCs w:val="20"/>
        </w:rPr>
      </w:pPr>
      <w:r>
        <w:rPr>
          <w:rFonts w:cs="Times New Roman"/>
          <w:sz w:val="20"/>
          <w:szCs w:val="20"/>
        </w:rPr>
        <w:t>Egyes esetekben törvényi rendelkezések alapján a tájékoztatást az adatkezelő megtagadhatja, ekkor a válaszban minden esetben megjelölésre kerül, hogy mely törvényi rendelkezés alapján került megtagadásra a tájékoztatás, és az érintett milyen jogorvoslati lehetőséget vehet igénybe.</w:t>
      </w:r>
    </w:p>
    <w:p w:rsidR="00A33C35" w:rsidRDefault="00A33C35" w:rsidP="00A33C35">
      <w:pPr>
        <w:spacing w:after="0" w:line="240" w:lineRule="auto"/>
        <w:jc w:val="both"/>
        <w:rPr>
          <w:rFonts w:cs="Times New Roman"/>
          <w:sz w:val="20"/>
          <w:szCs w:val="20"/>
        </w:rPr>
      </w:pPr>
    </w:p>
    <w:p w:rsidR="00A33C35" w:rsidRDefault="00A33C35" w:rsidP="00A33C35">
      <w:pPr>
        <w:spacing w:after="0" w:line="240" w:lineRule="auto"/>
        <w:jc w:val="both"/>
        <w:rPr>
          <w:rFonts w:cs="Times New Roman"/>
          <w:sz w:val="20"/>
          <w:szCs w:val="20"/>
        </w:rPr>
      </w:pPr>
      <w:r>
        <w:rPr>
          <w:rFonts w:cs="Times New Roman"/>
          <w:sz w:val="20"/>
          <w:szCs w:val="20"/>
        </w:rPr>
        <w:t xml:space="preserve">Az adat helyesbítésének (módosításának) kérése esetén a módosítani kért adat valóságát az érintettnek alá kell támasztania, és igazolnia kell azt is, hogy valóban az arra jogosult személy kéri az adat módosítását. </w:t>
      </w:r>
    </w:p>
    <w:p w:rsidR="00A33C35" w:rsidRDefault="00A33C35" w:rsidP="00A33C35">
      <w:pPr>
        <w:spacing w:after="0" w:line="240" w:lineRule="auto"/>
        <w:jc w:val="both"/>
        <w:rPr>
          <w:rFonts w:cs="Times New Roman"/>
          <w:sz w:val="20"/>
          <w:szCs w:val="20"/>
        </w:rPr>
      </w:pPr>
    </w:p>
    <w:p w:rsidR="00A33C35" w:rsidRDefault="00A33C35" w:rsidP="00A33C35">
      <w:pPr>
        <w:spacing w:after="0" w:line="240" w:lineRule="auto"/>
        <w:jc w:val="both"/>
        <w:rPr>
          <w:rFonts w:cs="Times New Roman"/>
          <w:sz w:val="20"/>
          <w:szCs w:val="20"/>
        </w:rPr>
      </w:pPr>
      <w:r>
        <w:rPr>
          <w:rFonts w:cs="Times New Roman"/>
          <w:sz w:val="20"/>
          <w:szCs w:val="20"/>
        </w:rPr>
        <w:t xml:space="preserve">Az adat törlésének, zárolásának kérése esetén az érintett kérheti adatainak törlését, amely alapján az adatkezelő köteles arra, hogy az érintettre vonatkozó adatokat indokolatlan késedelem nélkül törölje, ha: </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személyes adatokra már nincs szükség abból a célból, amiért kezelték, </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ha az érintett hozzájárulásán alapult az adatok kezelése és azt visszavonta, és más jogalap az adatok további kezelését nem teszi jogszerűvé,</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tiltakozik az adatkezelés ellen,</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 személyes adatokat jogellenesen kezelték,</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 személyes adatokat az adatkezelőre alkalmazandó jogszabályban előírt jogi kötelezettség teljesítéséhez törölni kell.</w:t>
      </w:r>
    </w:p>
    <w:p w:rsidR="00A33C35" w:rsidRDefault="00A33C35" w:rsidP="00A33C35">
      <w:pPr>
        <w:pStyle w:val="Listaszerbekezds"/>
        <w:spacing w:after="0" w:line="240" w:lineRule="auto"/>
        <w:jc w:val="both"/>
        <w:rPr>
          <w:rFonts w:ascii="Times New Roman" w:hAnsi="Times New Roman" w:cs="Times New Roman"/>
          <w:sz w:val="20"/>
          <w:szCs w:val="20"/>
        </w:rPr>
      </w:pPr>
    </w:p>
    <w:p w:rsidR="00A33C35" w:rsidRDefault="00A33C35" w:rsidP="00A33C35">
      <w:pPr>
        <w:spacing w:after="0" w:line="240" w:lineRule="auto"/>
        <w:jc w:val="both"/>
        <w:rPr>
          <w:rFonts w:cs="Times New Roman"/>
          <w:sz w:val="20"/>
          <w:szCs w:val="20"/>
        </w:rPr>
      </w:pPr>
      <w:r>
        <w:rPr>
          <w:rFonts w:cs="Times New Roman"/>
          <w:sz w:val="20"/>
          <w:szCs w:val="20"/>
        </w:rPr>
        <w:t xml:space="preserve">Olyan adatnak a törlését vagy zárolását azonban az adatkezelő nem végezheti el, amelynek a kezelésére közhatalom gyakorlása, jogi kötelezettsége teljesítése keretében van szükség, vagy amelyet jogi igények előterjesztéséhez, érvényesítéséhez, illetve védelméhez kezel. </w:t>
      </w:r>
    </w:p>
    <w:p w:rsidR="00A33C35" w:rsidRDefault="00A33C35" w:rsidP="00A33C35">
      <w:pPr>
        <w:spacing w:after="0" w:line="240" w:lineRule="auto"/>
        <w:jc w:val="both"/>
        <w:rPr>
          <w:rFonts w:cs="Times New Roman"/>
          <w:sz w:val="20"/>
          <w:szCs w:val="20"/>
        </w:rPr>
      </w:pPr>
    </w:p>
    <w:p w:rsidR="00A33C35" w:rsidRDefault="00A33C35" w:rsidP="00A33C35">
      <w:pPr>
        <w:spacing w:after="0" w:line="240" w:lineRule="auto"/>
        <w:jc w:val="both"/>
        <w:rPr>
          <w:rFonts w:cs="Times New Roman"/>
          <w:sz w:val="20"/>
          <w:szCs w:val="20"/>
        </w:rPr>
      </w:pPr>
      <w:r>
        <w:rPr>
          <w:rFonts w:cs="Times New Roman"/>
          <w:sz w:val="20"/>
          <w:szCs w:val="20"/>
        </w:rPr>
        <w:t>Az adatkezelés korlátozására abban az esetben van lehetőség, amennyiben</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vitatja a személyes adatok pontosságát, ez esetben a korlátozás arra az időtartamra vonatkozik, amely lehetővé teszi, hogy az adatkezelő ellenőrizze a személyes adatok pontosságát,</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adatkezelés jogellenes, és az érintett ellenzi az adatok törlését, és ehelyett kéri azok felhasználásának korlátozását,</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adatkezelőnek már nincs szüksége a személyes adatokra adatkezelés céljából, de az érintett igényli azokat jogi igények előterjesztéséhez, érvényesítéséhez vagy védelméhez,</w:t>
      </w:r>
    </w:p>
    <w:p w:rsidR="00A33C35" w:rsidRDefault="00A33C35" w:rsidP="00A33C35">
      <w:pPr>
        <w:pStyle w:val="Listaszerbekezds"/>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az érintett a tiltakozott az adatkezelés ellen; ez esetben a korlátozás arra az időtartamra vonatkozik, amíg megállapításra nem kerül, hogy az adatkezelő jogos indokai elsőbbséget élveznek-e az érintett jogos indokaival szemben.</w:t>
      </w:r>
    </w:p>
    <w:p w:rsidR="00A33C35" w:rsidRDefault="00A33C35" w:rsidP="00A33C35">
      <w:pPr>
        <w:spacing w:after="0" w:line="240" w:lineRule="auto"/>
        <w:ind w:left="360"/>
        <w:jc w:val="both"/>
        <w:rPr>
          <w:rFonts w:cs="Times New Roman"/>
          <w:sz w:val="20"/>
          <w:szCs w:val="20"/>
        </w:rPr>
      </w:pPr>
    </w:p>
    <w:p w:rsidR="00A33C35" w:rsidRDefault="00A33C35" w:rsidP="00A33C35">
      <w:pPr>
        <w:spacing w:after="0" w:line="240" w:lineRule="auto"/>
        <w:jc w:val="both"/>
        <w:rPr>
          <w:rFonts w:cs="Times New Roman"/>
          <w:sz w:val="20"/>
          <w:szCs w:val="20"/>
        </w:rPr>
      </w:pPr>
      <w:r>
        <w:rPr>
          <w:rFonts w:cs="Times New Roman"/>
          <w:sz w:val="20"/>
          <w:szCs w:val="20"/>
        </w:rPr>
        <w:t>Ha az adat korlátozás alá esik, az ilyen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w:t>
      </w:r>
    </w:p>
    <w:p w:rsidR="00A33C35" w:rsidRDefault="00A33C35" w:rsidP="00A33C35">
      <w:pPr>
        <w:spacing w:after="0" w:line="240" w:lineRule="auto"/>
        <w:jc w:val="both"/>
        <w:rPr>
          <w:rFonts w:cs="Times New Roman"/>
          <w:sz w:val="20"/>
          <w:szCs w:val="20"/>
        </w:rPr>
      </w:pPr>
    </w:p>
    <w:p w:rsidR="00A33C35" w:rsidRDefault="00A33C35" w:rsidP="00A33C35">
      <w:pPr>
        <w:spacing w:after="0" w:line="240" w:lineRule="auto"/>
        <w:jc w:val="both"/>
        <w:rPr>
          <w:rFonts w:cs="Times New Roman"/>
          <w:sz w:val="20"/>
          <w:szCs w:val="20"/>
        </w:rPr>
      </w:pPr>
      <w:r>
        <w:rPr>
          <w:rFonts w:cs="Times New Roman"/>
          <w:sz w:val="20"/>
          <w:szCs w:val="20"/>
        </w:rPr>
        <w:t>A tiltakozáshoz való jog gyakorlása keretében jogosult arra, hogy a saját helyzetével kapcsolatos okokból bármikor tiltakozzon személyes adatainak az adatkezelőre ruházott közhatalmi jogosítvány gyakorlásának keretében végzett feladata végrehajtásához szükséges adatok kezelése, valamint a jogos érdeken alapuló adatkezelés ellen. Ebben az esetben az adatkezelő a személyes adatokat nem kezelheti tovább, kivéve, ha bizonyítja, hogy az adatkezelést olyan kényszerítő erejű jogos okok indokolják, amelyek elsőbbséget élveznek az érintett érdekeivel, jogaival és szabadságaival szemben, vagy amelyek jogi igények előterjesztéséhez, érvényesítéséhez vagy védelméhez kapcsolódnak.</w:t>
      </w:r>
    </w:p>
    <w:p w:rsidR="00A33C35" w:rsidRDefault="00A33C35" w:rsidP="00A33C35">
      <w:pPr>
        <w:spacing w:after="0" w:line="240" w:lineRule="auto"/>
        <w:jc w:val="both"/>
        <w:rPr>
          <w:rFonts w:cs="Times New Roman"/>
          <w:sz w:val="20"/>
          <w:szCs w:val="20"/>
        </w:rPr>
      </w:pPr>
    </w:p>
    <w:p w:rsidR="00A33C35" w:rsidRDefault="00A33C35" w:rsidP="00A33C35">
      <w:pPr>
        <w:spacing w:after="0" w:line="240" w:lineRule="auto"/>
        <w:jc w:val="both"/>
        <w:rPr>
          <w:rFonts w:cs="Times New Roman"/>
          <w:sz w:val="20"/>
          <w:szCs w:val="20"/>
        </w:rPr>
      </w:pPr>
      <w:r>
        <w:rPr>
          <w:rFonts w:cs="Times New Roman"/>
          <w:sz w:val="20"/>
          <w:szCs w:val="20"/>
        </w:rPr>
        <w:t xml:space="preserve">Az adatkezeléssel kapcsolatos jogok érvényesítésének korlátozása, kérelme elutasítása, vagy a személyes adatok kezelésére vonatkozó jogszabályok megsértése esetén a Nemzeti Adatvédelmi és Információszabadság Hatósághoz fordulhat (székhely: 1125 Budapest, Szilágyi Erzsébet fasor 22/C., telefon: 06/1/391-1400, e-mail: </w:t>
      </w:r>
      <w:hyperlink r:id="rId9" w:history="1">
        <w:r>
          <w:rPr>
            <w:rStyle w:val="Hiperhivatkozs"/>
            <w:rFonts w:cs="Times New Roman"/>
            <w:sz w:val="20"/>
            <w:szCs w:val="20"/>
          </w:rPr>
          <w:t>ugyfelszolgalat@naih.hu</w:t>
        </w:r>
      </w:hyperlink>
      <w:r>
        <w:rPr>
          <w:rFonts w:cs="Times New Roman"/>
          <w:sz w:val="20"/>
          <w:szCs w:val="20"/>
        </w:rPr>
        <w:t>).</w:t>
      </w:r>
    </w:p>
    <w:p w:rsidR="00A33C35" w:rsidRDefault="00A33C35" w:rsidP="00A33C35">
      <w:pPr>
        <w:spacing w:after="0" w:line="240" w:lineRule="auto"/>
        <w:ind w:left="720"/>
        <w:jc w:val="both"/>
        <w:rPr>
          <w:rFonts w:cs="Times New Roman"/>
          <w:sz w:val="20"/>
          <w:szCs w:val="20"/>
        </w:rPr>
      </w:pPr>
    </w:p>
    <w:p w:rsidR="00A33C35" w:rsidRDefault="00A33C35" w:rsidP="00A33C35">
      <w:pPr>
        <w:spacing w:after="0" w:line="240" w:lineRule="auto"/>
        <w:jc w:val="both"/>
        <w:rPr>
          <w:rFonts w:cs="Times New Roman"/>
          <w:sz w:val="20"/>
          <w:szCs w:val="20"/>
        </w:rPr>
      </w:pPr>
      <w:r>
        <w:rPr>
          <w:rFonts w:cs="Times New Roman"/>
          <w:sz w:val="20"/>
          <w:szCs w:val="20"/>
        </w:rPr>
        <w:t xml:space="preserve">A személyes adatok kezelésére vonatkozó jogszabályok megsértése esetén jogosult továbbá bírósághoz fordulni. Az ügy elbírálása a törvényszék hatáskörébe tartozik, a per az érintett választása szerint az adatkezelő székhelye vagy az érintett lakóhelye alapján illetékes törvényszék előtt indítható meg. A törvényszékek felsorolását és elérhetőségeit az alábbi linken keresztül tekintheti meg: </w:t>
      </w:r>
      <w:hyperlink r:id="rId10" w:history="1">
        <w:r>
          <w:rPr>
            <w:rStyle w:val="Hiperhivatkozs"/>
            <w:rFonts w:cs="Times New Roman"/>
            <w:sz w:val="20"/>
            <w:szCs w:val="20"/>
          </w:rPr>
          <w:t>http://birosag.hu/torvenyszekek</w:t>
        </w:r>
      </w:hyperlink>
      <w:r>
        <w:rPr>
          <w:rFonts w:cs="Times New Roman"/>
          <w:sz w:val="20"/>
          <w:szCs w:val="20"/>
        </w:rPr>
        <w:t xml:space="preserve">. </w:t>
      </w:r>
    </w:p>
    <w:p w:rsidR="00A33C35" w:rsidRDefault="00A33C35" w:rsidP="00A33C35">
      <w:pPr>
        <w:spacing w:after="0" w:line="240" w:lineRule="auto"/>
        <w:jc w:val="both"/>
        <w:rPr>
          <w:rFonts w:cs="Times New Roman"/>
          <w:sz w:val="20"/>
          <w:szCs w:val="20"/>
        </w:rPr>
      </w:pPr>
    </w:p>
    <w:p w:rsidR="00A33C35" w:rsidRDefault="00A33C35" w:rsidP="00A33C35">
      <w:pPr>
        <w:tabs>
          <w:tab w:val="left" w:pos="960"/>
        </w:tabs>
        <w:rPr>
          <w:rFonts w:cs="Times New Roman"/>
          <w:szCs w:val="24"/>
        </w:rPr>
      </w:pPr>
    </w:p>
    <w:p w:rsidR="00A33C35" w:rsidRDefault="00A33C35" w:rsidP="00A33C35">
      <w:pPr>
        <w:tabs>
          <w:tab w:val="left" w:pos="960"/>
        </w:tabs>
        <w:rPr>
          <w:rFonts w:cs="Times New Roman"/>
          <w:szCs w:val="24"/>
        </w:rPr>
      </w:pPr>
    </w:p>
    <w:p w:rsidR="008C2868" w:rsidRDefault="008C2868"/>
    <w:sectPr w:rsidR="008C286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977" w:rsidRDefault="00161977" w:rsidP="00161977">
      <w:pPr>
        <w:spacing w:after="0" w:line="240" w:lineRule="auto"/>
      </w:pPr>
      <w:r>
        <w:separator/>
      </w:r>
    </w:p>
  </w:endnote>
  <w:endnote w:type="continuationSeparator" w:id="0">
    <w:p w:rsidR="00161977" w:rsidRDefault="00161977" w:rsidP="00161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977" w:rsidRDefault="00161977" w:rsidP="00161977">
      <w:pPr>
        <w:spacing w:after="0" w:line="240" w:lineRule="auto"/>
      </w:pPr>
      <w:r>
        <w:separator/>
      </w:r>
    </w:p>
  </w:footnote>
  <w:footnote w:type="continuationSeparator" w:id="0">
    <w:p w:rsidR="00161977" w:rsidRDefault="00161977" w:rsidP="00161977">
      <w:pPr>
        <w:spacing w:after="0" w:line="240" w:lineRule="auto"/>
      </w:pPr>
      <w:r>
        <w:continuationSeparator/>
      </w:r>
    </w:p>
  </w:footnote>
  <w:footnote w:id="1">
    <w:p w:rsidR="005F6540" w:rsidRPr="00A33C35" w:rsidRDefault="005F6540" w:rsidP="00A33C35">
      <w:pPr>
        <w:pStyle w:val="Lbjegyzetszveg"/>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B6036"/>
    <w:multiLevelType w:val="hybridMultilevel"/>
    <w:tmpl w:val="E78A52FC"/>
    <w:lvl w:ilvl="0" w:tplc="42762E3A">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977"/>
    <w:rsid w:val="00161977"/>
    <w:rsid w:val="004251EE"/>
    <w:rsid w:val="005F6540"/>
    <w:rsid w:val="007B580F"/>
    <w:rsid w:val="008C2868"/>
    <w:rsid w:val="00A33C35"/>
    <w:rsid w:val="00D41E9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61977"/>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161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161977"/>
    <w:pPr>
      <w:spacing w:after="0" w:line="240" w:lineRule="auto"/>
    </w:pPr>
    <w:rPr>
      <w:rFonts w:asciiTheme="minorHAnsi" w:hAnsiTheme="minorHAnsi"/>
      <w:sz w:val="20"/>
      <w:szCs w:val="20"/>
    </w:rPr>
  </w:style>
  <w:style w:type="character" w:customStyle="1" w:styleId="LbjegyzetszvegChar">
    <w:name w:val="Lábjegyzetszöveg Char"/>
    <w:basedOn w:val="Bekezdsalapbettpusa"/>
    <w:link w:val="Lbjegyzetszveg"/>
    <w:uiPriority w:val="99"/>
    <w:semiHidden/>
    <w:rsid w:val="00161977"/>
    <w:rPr>
      <w:sz w:val="20"/>
      <w:szCs w:val="20"/>
    </w:rPr>
  </w:style>
  <w:style w:type="character" w:styleId="Lbjegyzet-hivatkozs">
    <w:name w:val="footnote reference"/>
    <w:basedOn w:val="Bekezdsalapbettpusa"/>
    <w:uiPriority w:val="99"/>
    <w:unhideWhenUsed/>
    <w:rsid w:val="00161977"/>
    <w:rPr>
      <w:vertAlign w:val="superscript"/>
    </w:rPr>
  </w:style>
  <w:style w:type="paragraph" w:styleId="NormlWeb">
    <w:name w:val="Normal (Web)"/>
    <w:basedOn w:val="Norml"/>
    <w:uiPriority w:val="99"/>
    <w:semiHidden/>
    <w:unhideWhenUsed/>
    <w:rsid w:val="00161977"/>
    <w:pPr>
      <w:spacing w:after="0" w:line="240" w:lineRule="auto"/>
    </w:pPr>
    <w:rPr>
      <w:rFonts w:eastAsia="Times New Roman" w:cs="Times New Roman"/>
      <w:szCs w:val="24"/>
      <w:lang w:eastAsia="hu-HU"/>
    </w:rPr>
  </w:style>
  <w:style w:type="paragraph" w:styleId="lfej">
    <w:name w:val="header"/>
    <w:basedOn w:val="Norml"/>
    <w:link w:val="lfejChar"/>
    <w:uiPriority w:val="99"/>
    <w:unhideWhenUsed/>
    <w:rsid w:val="00161977"/>
    <w:pPr>
      <w:tabs>
        <w:tab w:val="center" w:pos="4536"/>
        <w:tab w:val="right" w:pos="9072"/>
      </w:tabs>
      <w:spacing w:after="0" w:line="240" w:lineRule="auto"/>
    </w:pPr>
  </w:style>
  <w:style w:type="character" w:customStyle="1" w:styleId="lfejChar">
    <w:name w:val="Élőfej Char"/>
    <w:basedOn w:val="Bekezdsalapbettpusa"/>
    <w:link w:val="lfej"/>
    <w:uiPriority w:val="99"/>
    <w:rsid w:val="00161977"/>
    <w:rPr>
      <w:rFonts w:ascii="Times New Roman" w:hAnsi="Times New Roman"/>
      <w:sz w:val="24"/>
    </w:rPr>
  </w:style>
  <w:style w:type="paragraph" w:styleId="Buborkszveg">
    <w:name w:val="Balloon Text"/>
    <w:basedOn w:val="Norml"/>
    <w:link w:val="BuborkszvegChar"/>
    <w:uiPriority w:val="99"/>
    <w:semiHidden/>
    <w:unhideWhenUsed/>
    <w:rsid w:val="0016197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61977"/>
    <w:rPr>
      <w:rFonts w:ascii="Tahoma" w:hAnsi="Tahoma" w:cs="Tahoma"/>
      <w:sz w:val="16"/>
      <w:szCs w:val="16"/>
    </w:rPr>
  </w:style>
  <w:style w:type="character" w:styleId="Hiperhivatkozs">
    <w:name w:val="Hyperlink"/>
    <w:uiPriority w:val="99"/>
    <w:semiHidden/>
    <w:unhideWhenUsed/>
    <w:rsid w:val="00A33C35"/>
    <w:rPr>
      <w:color w:val="0000FF"/>
      <w:u w:val="single"/>
    </w:rPr>
  </w:style>
  <w:style w:type="paragraph" w:styleId="Listaszerbekezds">
    <w:name w:val="List Paragraph"/>
    <w:basedOn w:val="Norml"/>
    <w:uiPriority w:val="34"/>
    <w:qFormat/>
    <w:rsid w:val="00A33C35"/>
    <w:pPr>
      <w:ind w:left="720"/>
      <w:contextualSpacing/>
    </w:pPr>
    <w:rPr>
      <w:rFonts w:asciiTheme="minorHAnsi" w:hAnsiTheme="minorHAns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61977"/>
    <w:rPr>
      <w:rFonts w:ascii="Times New Roman" w:hAnsi="Times New Roman"/>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59"/>
    <w:rsid w:val="001619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bjegyzetszveg">
    <w:name w:val="footnote text"/>
    <w:basedOn w:val="Norml"/>
    <w:link w:val="LbjegyzetszvegChar"/>
    <w:uiPriority w:val="99"/>
    <w:semiHidden/>
    <w:unhideWhenUsed/>
    <w:rsid w:val="00161977"/>
    <w:pPr>
      <w:spacing w:after="0" w:line="240" w:lineRule="auto"/>
    </w:pPr>
    <w:rPr>
      <w:rFonts w:asciiTheme="minorHAnsi" w:hAnsiTheme="minorHAnsi"/>
      <w:sz w:val="20"/>
      <w:szCs w:val="20"/>
    </w:rPr>
  </w:style>
  <w:style w:type="character" w:customStyle="1" w:styleId="LbjegyzetszvegChar">
    <w:name w:val="Lábjegyzetszöveg Char"/>
    <w:basedOn w:val="Bekezdsalapbettpusa"/>
    <w:link w:val="Lbjegyzetszveg"/>
    <w:uiPriority w:val="99"/>
    <w:semiHidden/>
    <w:rsid w:val="00161977"/>
    <w:rPr>
      <w:sz w:val="20"/>
      <w:szCs w:val="20"/>
    </w:rPr>
  </w:style>
  <w:style w:type="character" w:styleId="Lbjegyzet-hivatkozs">
    <w:name w:val="footnote reference"/>
    <w:basedOn w:val="Bekezdsalapbettpusa"/>
    <w:uiPriority w:val="99"/>
    <w:unhideWhenUsed/>
    <w:rsid w:val="00161977"/>
    <w:rPr>
      <w:vertAlign w:val="superscript"/>
    </w:rPr>
  </w:style>
  <w:style w:type="paragraph" w:styleId="NormlWeb">
    <w:name w:val="Normal (Web)"/>
    <w:basedOn w:val="Norml"/>
    <w:uiPriority w:val="99"/>
    <w:semiHidden/>
    <w:unhideWhenUsed/>
    <w:rsid w:val="00161977"/>
    <w:pPr>
      <w:spacing w:after="0" w:line="240" w:lineRule="auto"/>
    </w:pPr>
    <w:rPr>
      <w:rFonts w:eastAsia="Times New Roman" w:cs="Times New Roman"/>
      <w:szCs w:val="24"/>
      <w:lang w:eastAsia="hu-HU"/>
    </w:rPr>
  </w:style>
  <w:style w:type="paragraph" w:styleId="lfej">
    <w:name w:val="header"/>
    <w:basedOn w:val="Norml"/>
    <w:link w:val="lfejChar"/>
    <w:uiPriority w:val="99"/>
    <w:unhideWhenUsed/>
    <w:rsid w:val="00161977"/>
    <w:pPr>
      <w:tabs>
        <w:tab w:val="center" w:pos="4536"/>
        <w:tab w:val="right" w:pos="9072"/>
      </w:tabs>
      <w:spacing w:after="0" w:line="240" w:lineRule="auto"/>
    </w:pPr>
  </w:style>
  <w:style w:type="character" w:customStyle="1" w:styleId="lfejChar">
    <w:name w:val="Élőfej Char"/>
    <w:basedOn w:val="Bekezdsalapbettpusa"/>
    <w:link w:val="lfej"/>
    <w:uiPriority w:val="99"/>
    <w:rsid w:val="00161977"/>
    <w:rPr>
      <w:rFonts w:ascii="Times New Roman" w:hAnsi="Times New Roman"/>
      <w:sz w:val="24"/>
    </w:rPr>
  </w:style>
  <w:style w:type="paragraph" w:styleId="Buborkszveg">
    <w:name w:val="Balloon Text"/>
    <w:basedOn w:val="Norml"/>
    <w:link w:val="BuborkszvegChar"/>
    <w:uiPriority w:val="99"/>
    <w:semiHidden/>
    <w:unhideWhenUsed/>
    <w:rsid w:val="0016197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61977"/>
    <w:rPr>
      <w:rFonts w:ascii="Tahoma" w:hAnsi="Tahoma" w:cs="Tahoma"/>
      <w:sz w:val="16"/>
      <w:szCs w:val="16"/>
    </w:rPr>
  </w:style>
  <w:style w:type="character" w:styleId="Hiperhivatkozs">
    <w:name w:val="Hyperlink"/>
    <w:uiPriority w:val="99"/>
    <w:semiHidden/>
    <w:unhideWhenUsed/>
    <w:rsid w:val="00A33C35"/>
    <w:rPr>
      <w:color w:val="0000FF"/>
      <w:u w:val="single"/>
    </w:rPr>
  </w:style>
  <w:style w:type="paragraph" w:styleId="Listaszerbekezds">
    <w:name w:val="List Paragraph"/>
    <w:basedOn w:val="Norml"/>
    <w:uiPriority w:val="34"/>
    <w:qFormat/>
    <w:rsid w:val="00A33C35"/>
    <w:pPr>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5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birosag.hu/torvenyszekek" TargetMode="Externa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1115</Words>
  <Characters>7700</Characters>
  <Application>Microsoft Office Word</Application>
  <DocSecurity>0</DocSecurity>
  <Lines>64</Lines>
  <Paragraphs>17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monostory.peter</dc:creator>
  <cp:lastModifiedBy>monostory.peter</cp:lastModifiedBy>
  <cp:revision>4</cp:revision>
  <dcterms:created xsi:type="dcterms:W3CDTF">2020-03-25T12:29:00Z</dcterms:created>
  <dcterms:modified xsi:type="dcterms:W3CDTF">2020-04-01T09:42:00Z</dcterms:modified>
</cp:coreProperties>
</file>