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Rcsostblzat"/>
        <w:tblW w:w="0" w:type="auto"/>
        <w:tblLook w:val="04A0" w:firstRow="1" w:lastRow="0" w:firstColumn="1" w:lastColumn="0" w:noHBand="0" w:noVBand="1"/>
      </w:tblPr>
      <w:tblGrid>
        <w:gridCol w:w="4606"/>
        <w:gridCol w:w="4606"/>
      </w:tblGrid>
      <w:tr w:rsidR="00671439" w:rsidTr="00671439">
        <w:trPr>
          <w:trHeight w:val="454"/>
        </w:trPr>
        <w:tc>
          <w:tcPr>
            <w:tcW w:w="4606" w:type="dxa"/>
            <w:hideMark/>
          </w:tcPr>
          <w:p w:rsidR="00671439" w:rsidRDefault="00671439">
            <w:pPr>
              <w:rPr>
                <w:rFonts w:cs="Times New Roman"/>
                <w:sz w:val="20"/>
                <w:szCs w:val="20"/>
              </w:rPr>
            </w:pPr>
            <w:r>
              <w:rPr>
                <w:rStyle w:val="Lbjegyzet-hivatkozs"/>
                <w:rFonts w:cs="Times New Roman"/>
                <w:sz w:val="20"/>
                <w:szCs w:val="20"/>
              </w:rPr>
              <w:footnoteReference w:id="1"/>
            </w:r>
            <w:r>
              <w:rPr>
                <w:rFonts w:cs="Times New Roman"/>
                <w:sz w:val="20"/>
                <w:szCs w:val="20"/>
              </w:rPr>
              <w:t xml:space="preserve">Nyilvántartási szám: </w:t>
            </w:r>
          </w:p>
        </w:tc>
        <w:tc>
          <w:tcPr>
            <w:tcW w:w="4606" w:type="dxa"/>
          </w:tcPr>
          <w:p w:rsidR="00671439" w:rsidRDefault="00366865">
            <w:pPr>
              <w:jc w:val="both"/>
              <w:rPr>
                <w:rFonts w:cs="Times New Roman"/>
                <w:sz w:val="20"/>
                <w:szCs w:val="20"/>
              </w:rPr>
            </w:pPr>
            <w:r>
              <w:rPr>
                <w:rFonts w:cs="Times New Roman"/>
                <w:sz w:val="20"/>
                <w:szCs w:val="20"/>
              </w:rPr>
              <w:t>30513-13/69/2020.</w:t>
            </w:r>
            <w:bookmarkStart w:id="0" w:name="_GoBack"/>
            <w:bookmarkEnd w:id="0"/>
          </w:p>
        </w:tc>
      </w:tr>
      <w:tr w:rsidR="00AE3EF5" w:rsidTr="00FA5E78">
        <w:trPr>
          <w:trHeight w:val="454"/>
        </w:trPr>
        <w:tc>
          <w:tcPr>
            <w:tcW w:w="4606" w:type="dxa"/>
            <w:tcBorders>
              <w:bottom w:val="single" w:sz="4" w:space="0" w:color="auto"/>
            </w:tcBorders>
            <w:vAlign w:val="center"/>
          </w:tcPr>
          <w:p w:rsidR="00AE3EF5" w:rsidRPr="008F0216" w:rsidRDefault="00AE3EF5" w:rsidP="00FA5E78">
            <w:pPr>
              <w:rPr>
                <w:rFonts w:cs="Times New Roman"/>
                <w:sz w:val="20"/>
                <w:szCs w:val="20"/>
              </w:rPr>
            </w:pPr>
            <w:r>
              <w:rPr>
                <w:rFonts w:cs="Times New Roman"/>
                <w:sz w:val="20"/>
                <w:szCs w:val="20"/>
              </w:rPr>
              <w:t>Az adatkezelés megnevezése</w:t>
            </w:r>
          </w:p>
        </w:tc>
        <w:tc>
          <w:tcPr>
            <w:tcW w:w="4606" w:type="dxa"/>
            <w:tcBorders>
              <w:bottom w:val="single" w:sz="4" w:space="0" w:color="auto"/>
            </w:tcBorders>
            <w:vAlign w:val="center"/>
          </w:tcPr>
          <w:p w:rsidR="00AE3EF5" w:rsidRPr="00BA08DE" w:rsidRDefault="00AE3EF5" w:rsidP="00FA5E78">
            <w:pPr>
              <w:spacing w:before="100" w:beforeAutospacing="1" w:after="100" w:afterAutospacing="1"/>
              <w:outlineLvl w:val="2"/>
              <w:rPr>
                <w:rFonts w:eastAsia="Times New Roman" w:cs="Times New Roman"/>
                <w:b/>
                <w:bCs/>
                <w:sz w:val="20"/>
                <w:szCs w:val="20"/>
                <w:lang w:eastAsia="hu-HU"/>
              </w:rPr>
            </w:pPr>
            <w:r>
              <w:rPr>
                <w:rFonts w:eastAsia="Times New Roman" w:cs="Times New Roman"/>
                <w:b/>
                <w:bCs/>
                <w:iCs/>
                <w:sz w:val="20"/>
                <w:szCs w:val="20"/>
                <w:lang w:eastAsia="hu-HU"/>
              </w:rPr>
              <w:t xml:space="preserve">Személyi állomány pszichológia állapotfelmérés </w:t>
            </w:r>
            <w:r w:rsidRPr="00BA08DE">
              <w:rPr>
                <w:rFonts w:eastAsia="Times New Roman" w:cs="Times New Roman"/>
                <w:b/>
                <w:bCs/>
                <w:iCs/>
                <w:sz w:val="20"/>
                <w:szCs w:val="20"/>
                <w:lang w:eastAsia="hu-HU"/>
              </w:rPr>
              <w:t>nyilvántartás</w:t>
            </w:r>
            <w:r>
              <w:rPr>
                <w:rFonts w:eastAsia="Times New Roman" w:cs="Times New Roman"/>
                <w:b/>
                <w:bCs/>
                <w:iCs/>
                <w:sz w:val="20"/>
                <w:szCs w:val="20"/>
                <w:lang w:eastAsia="hu-HU"/>
              </w:rPr>
              <w:t xml:space="preserve">  </w:t>
            </w:r>
          </w:p>
        </w:tc>
      </w:tr>
      <w:tr w:rsidR="00AE3EF5" w:rsidTr="00FA5E78">
        <w:trPr>
          <w:trHeight w:val="454"/>
        </w:trPr>
        <w:tc>
          <w:tcPr>
            <w:tcW w:w="4606" w:type="dxa"/>
            <w:tcBorders>
              <w:bottom w:val="single" w:sz="4" w:space="0" w:color="auto"/>
            </w:tcBorders>
            <w:vAlign w:val="center"/>
          </w:tcPr>
          <w:p w:rsidR="00AE3EF5" w:rsidRPr="008F0216" w:rsidRDefault="00AE3EF5" w:rsidP="00FA5E78">
            <w:pPr>
              <w:rPr>
                <w:rFonts w:cs="Times New Roman"/>
                <w:sz w:val="20"/>
                <w:szCs w:val="20"/>
              </w:rPr>
            </w:pPr>
            <w:r>
              <w:rPr>
                <w:rFonts w:cs="Times New Roman"/>
                <w:sz w:val="20"/>
                <w:szCs w:val="20"/>
              </w:rPr>
              <w:t>Az adatkezelés célja</w:t>
            </w:r>
          </w:p>
        </w:tc>
        <w:tc>
          <w:tcPr>
            <w:tcW w:w="4606" w:type="dxa"/>
            <w:tcBorders>
              <w:bottom w:val="single" w:sz="4" w:space="0" w:color="auto"/>
            </w:tcBorders>
            <w:vAlign w:val="center"/>
          </w:tcPr>
          <w:p w:rsidR="00AE3EF5" w:rsidRPr="00B86247" w:rsidRDefault="00AE3EF5" w:rsidP="00FA5E78">
            <w:pPr>
              <w:spacing w:before="100" w:beforeAutospacing="1" w:after="100" w:afterAutospacing="1"/>
              <w:jc w:val="both"/>
              <w:outlineLvl w:val="2"/>
              <w:rPr>
                <w:rFonts w:cs="Times New Roman"/>
                <w:sz w:val="20"/>
                <w:szCs w:val="20"/>
              </w:rPr>
            </w:pPr>
            <w:r>
              <w:rPr>
                <w:rFonts w:cs="Times New Roman"/>
                <w:sz w:val="20"/>
                <w:szCs w:val="20"/>
              </w:rPr>
              <w:t xml:space="preserve">Személyi állomány pszichológia állapot felmérés az </w:t>
            </w:r>
            <w:r w:rsidRPr="00C330E0">
              <w:rPr>
                <w:rFonts w:cs="Times New Roman"/>
                <w:sz w:val="20"/>
                <w:szCs w:val="20"/>
              </w:rPr>
              <w:t>57/2009. (X.30) IRM</w:t>
            </w:r>
            <w:r>
              <w:rPr>
                <w:rFonts w:cs="Times New Roman"/>
                <w:sz w:val="20"/>
                <w:szCs w:val="20"/>
              </w:rPr>
              <w:t>-OM-PTNM együttes rendelet alapján</w:t>
            </w:r>
          </w:p>
        </w:tc>
      </w:tr>
      <w:tr w:rsidR="00AE3EF5" w:rsidTr="00FA5E78">
        <w:trPr>
          <w:trHeight w:val="454"/>
        </w:trPr>
        <w:tc>
          <w:tcPr>
            <w:tcW w:w="4606" w:type="dxa"/>
            <w:tcBorders>
              <w:top w:val="single" w:sz="4" w:space="0" w:color="auto"/>
            </w:tcBorders>
            <w:vAlign w:val="center"/>
          </w:tcPr>
          <w:p w:rsidR="00AE3EF5" w:rsidRPr="008F0216" w:rsidRDefault="00AE3EF5" w:rsidP="00FA5E78">
            <w:pPr>
              <w:rPr>
                <w:rFonts w:cs="Times New Roman"/>
                <w:sz w:val="20"/>
                <w:szCs w:val="20"/>
              </w:rPr>
            </w:pPr>
            <w:r>
              <w:rPr>
                <w:rFonts w:cs="Times New Roman"/>
                <w:sz w:val="20"/>
                <w:szCs w:val="20"/>
              </w:rPr>
              <w:t>Az adatkezelés jogalapja</w:t>
            </w:r>
          </w:p>
        </w:tc>
        <w:tc>
          <w:tcPr>
            <w:tcW w:w="4606" w:type="dxa"/>
            <w:tcBorders>
              <w:top w:val="single" w:sz="4" w:space="0" w:color="auto"/>
            </w:tcBorders>
            <w:vAlign w:val="center"/>
          </w:tcPr>
          <w:p w:rsidR="00AE3EF5" w:rsidRDefault="00AE3EF5" w:rsidP="00AE3EF5">
            <w:pPr>
              <w:pStyle w:val="Listaszerbekezds"/>
              <w:numPr>
                <w:ilvl w:val="0"/>
                <w:numId w:val="1"/>
              </w:numPr>
              <w:ind w:left="214" w:hanging="214"/>
              <w:jc w:val="both"/>
              <w:rPr>
                <w:rFonts w:ascii="Times New Roman" w:hAnsi="Times New Roman" w:cs="Times New Roman"/>
                <w:sz w:val="20"/>
                <w:szCs w:val="20"/>
              </w:rPr>
            </w:pPr>
            <w:proofErr w:type="spellStart"/>
            <w:proofErr w:type="gramStart"/>
            <w:r w:rsidRPr="00C330E0">
              <w:rPr>
                <w:rFonts w:ascii="Times New Roman" w:hAnsi="Times New Roman" w:cs="Times New Roman"/>
                <w:bCs/>
                <w:sz w:val="20"/>
                <w:szCs w:val="20"/>
                <w:lang w:val="en"/>
              </w:rPr>
              <w:t>egyes</w:t>
            </w:r>
            <w:proofErr w:type="spellEnd"/>
            <w:proofErr w:type="gram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rendvédelmi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szervek</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hivatásos</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állományú</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tagjai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egészségi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pszichikai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és</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fizikai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alkalmasságáról</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közalkalmazottai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és</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köztisztviselői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munkaköri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egészségi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alkalmasságáról</w:t>
            </w:r>
            <w:proofErr w:type="spellEnd"/>
            <w:r w:rsidRPr="00C330E0">
              <w:rPr>
                <w:rFonts w:ascii="Times New Roman" w:hAnsi="Times New Roman" w:cs="Times New Roman"/>
                <w:bCs/>
                <w:sz w:val="20"/>
                <w:szCs w:val="20"/>
                <w:lang w:val="en"/>
              </w:rPr>
              <w:t xml:space="preserve">, a </w:t>
            </w:r>
            <w:proofErr w:type="spellStart"/>
            <w:r w:rsidRPr="00C330E0">
              <w:rPr>
                <w:rFonts w:ascii="Times New Roman" w:hAnsi="Times New Roman" w:cs="Times New Roman"/>
                <w:bCs/>
                <w:sz w:val="20"/>
                <w:szCs w:val="20"/>
                <w:lang w:val="en"/>
              </w:rPr>
              <w:t>szolgálat</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illetve</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keresőképtelenség</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megállapításáról</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valamint</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az</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egészségügyi</w:t>
            </w:r>
            <w:proofErr w:type="spellEnd"/>
            <w:r w:rsidRPr="00C330E0">
              <w:rPr>
                <w:rFonts w:ascii="Times New Roman" w:hAnsi="Times New Roman" w:cs="Times New Roman"/>
                <w:bCs/>
                <w:sz w:val="20"/>
                <w:szCs w:val="20"/>
                <w:lang w:val="en"/>
              </w:rPr>
              <w:t xml:space="preserve"> </w:t>
            </w:r>
            <w:proofErr w:type="spellStart"/>
            <w:r w:rsidRPr="00C330E0">
              <w:rPr>
                <w:rFonts w:ascii="Times New Roman" w:hAnsi="Times New Roman" w:cs="Times New Roman"/>
                <w:bCs/>
                <w:sz w:val="20"/>
                <w:szCs w:val="20"/>
                <w:lang w:val="en"/>
              </w:rPr>
              <w:t>alapellátásról</w:t>
            </w:r>
            <w:proofErr w:type="spellEnd"/>
            <w:r w:rsidRPr="00C330E0">
              <w:rPr>
                <w:rFonts w:ascii="Times New Roman" w:hAnsi="Times New Roman" w:cs="Times New Roman"/>
                <w:sz w:val="20"/>
                <w:szCs w:val="20"/>
              </w:rPr>
              <w:t xml:space="preserve"> szóló 57/2009. (X.30) IRM</w:t>
            </w:r>
            <w:r>
              <w:rPr>
                <w:rFonts w:ascii="Times New Roman" w:hAnsi="Times New Roman" w:cs="Times New Roman"/>
                <w:sz w:val="20"/>
                <w:szCs w:val="20"/>
              </w:rPr>
              <w:t>-OM-PTNM együttes rendelet</w:t>
            </w:r>
          </w:p>
          <w:p w:rsidR="00AE3EF5" w:rsidRPr="00C330E0" w:rsidRDefault="00AE3EF5" w:rsidP="00AE3EF5">
            <w:pPr>
              <w:pStyle w:val="Listaszerbekezds"/>
              <w:numPr>
                <w:ilvl w:val="0"/>
                <w:numId w:val="2"/>
              </w:numPr>
              <w:ind w:left="214" w:hanging="214"/>
              <w:jc w:val="both"/>
              <w:rPr>
                <w:rFonts w:ascii="Times New Roman" w:hAnsi="Times New Roman" w:cs="Times New Roman"/>
                <w:sz w:val="20"/>
                <w:szCs w:val="20"/>
              </w:rPr>
            </w:pPr>
            <w:r w:rsidRPr="00C330E0">
              <w:rPr>
                <w:rFonts w:ascii="Times New Roman" w:hAnsi="Times New Roman" w:cs="Times New Roman"/>
                <w:sz w:val="20"/>
                <w:szCs w:val="20"/>
              </w:rPr>
              <w:t>1997. évi CLIV. Törvény az egészségügyről</w:t>
            </w:r>
          </w:p>
          <w:p w:rsidR="00AE3EF5" w:rsidRDefault="00AE3EF5" w:rsidP="00AE3EF5">
            <w:pPr>
              <w:pStyle w:val="Listaszerbekezds"/>
              <w:numPr>
                <w:ilvl w:val="0"/>
                <w:numId w:val="2"/>
              </w:numPr>
              <w:ind w:left="214" w:hanging="214"/>
              <w:jc w:val="both"/>
              <w:rPr>
                <w:rFonts w:ascii="Times New Roman" w:hAnsi="Times New Roman" w:cs="Times New Roman"/>
                <w:sz w:val="20"/>
                <w:szCs w:val="20"/>
              </w:rPr>
            </w:pPr>
            <w:r w:rsidRPr="00C330E0">
              <w:rPr>
                <w:rFonts w:ascii="Times New Roman" w:hAnsi="Times New Roman" w:cs="Times New Roman"/>
                <w:sz w:val="20"/>
                <w:szCs w:val="20"/>
              </w:rPr>
              <w:t>1997. évi XLVII. törvény az egészségügyi és a hozzájuk kapcsolódó személyes adatok kezeléséről és védelméről</w:t>
            </w:r>
          </w:p>
          <w:p w:rsidR="00AE3EF5" w:rsidRPr="00C330E0" w:rsidRDefault="00AE3EF5" w:rsidP="00AE3EF5">
            <w:pPr>
              <w:pStyle w:val="Listaszerbekezds"/>
              <w:numPr>
                <w:ilvl w:val="0"/>
                <w:numId w:val="2"/>
              </w:numPr>
              <w:ind w:left="214" w:hanging="214"/>
              <w:jc w:val="both"/>
              <w:rPr>
                <w:rFonts w:ascii="Times New Roman" w:hAnsi="Times New Roman" w:cs="Times New Roman"/>
                <w:sz w:val="20"/>
                <w:szCs w:val="20"/>
              </w:rPr>
            </w:pPr>
            <w:r w:rsidRPr="00C330E0">
              <w:rPr>
                <w:rFonts w:ascii="Times New Roman" w:hAnsi="Times New Roman" w:cs="Times New Roman"/>
                <w:bCs/>
                <w:iCs/>
                <w:sz w:val="20"/>
                <w:szCs w:val="20"/>
              </w:rPr>
              <w:t xml:space="preserve">az individuális (egyéni) </w:t>
            </w:r>
            <w:proofErr w:type="spellStart"/>
            <w:r w:rsidRPr="00C330E0">
              <w:rPr>
                <w:rFonts w:ascii="Times New Roman" w:hAnsi="Times New Roman" w:cs="Times New Roman"/>
                <w:bCs/>
                <w:iCs/>
                <w:sz w:val="20"/>
                <w:szCs w:val="20"/>
              </w:rPr>
              <w:t>pszichoszociális</w:t>
            </w:r>
            <w:proofErr w:type="spellEnd"/>
            <w:r w:rsidRPr="00C330E0">
              <w:rPr>
                <w:rFonts w:ascii="Times New Roman" w:hAnsi="Times New Roman" w:cs="Times New Roman"/>
                <w:bCs/>
                <w:iCs/>
                <w:sz w:val="20"/>
                <w:szCs w:val="20"/>
              </w:rPr>
              <w:t xml:space="preserve"> kockázatértékelésről, a személyi állomány</w:t>
            </w:r>
            <w:r w:rsidRPr="00C330E0">
              <w:rPr>
                <w:rFonts w:ascii="Times New Roman" w:hAnsi="Times New Roman" w:cs="Times New Roman"/>
                <w:bCs/>
                <w:iCs/>
                <w:sz w:val="20"/>
                <w:szCs w:val="20"/>
              </w:rPr>
              <w:br/>
              <w:t>pszichikai alkalmassági vizsgálatairól és a pszichológiai gondozási tevékenység rendszeréről</w:t>
            </w:r>
            <w:r>
              <w:rPr>
                <w:rFonts w:ascii="Times New Roman" w:hAnsi="Times New Roman" w:cs="Times New Roman"/>
                <w:bCs/>
                <w:iCs/>
                <w:sz w:val="20"/>
                <w:szCs w:val="20"/>
              </w:rPr>
              <w:t xml:space="preserve"> szóló</w:t>
            </w:r>
            <w:r w:rsidRPr="00C330E0">
              <w:rPr>
                <w:rFonts w:ascii="Times New Roman" w:hAnsi="Times New Roman" w:cs="Times New Roman"/>
                <w:bCs/>
                <w:iCs/>
                <w:sz w:val="20"/>
                <w:szCs w:val="20"/>
              </w:rPr>
              <w:t xml:space="preserve"> 91/2015. </w:t>
            </w:r>
            <w:r>
              <w:rPr>
                <w:rFonts w:ascii="Times New Roman" w:hAnsi="Times New Roman" w:cs="Times New Roman"/>
                <w:bCs/>
                <w:iCs/>
                <w:sz w:val="20"/>
                <w:szCs w:val="20"/>
              </w:rPr>
              <w:t xml:space="preserve">(XII.31) </w:t>
            </w:r>
            <w:r w:rsidRPr="00C330E0">
              <w:rPr>
                <w:rFonts w:ascii="Times New Roman" w:hAnsi="Times New Roman" w:cs="Times New Roman"/>
                <w:bCs/>
                <w:iCs/>
                <w:sz w:val="20"/>
                <w:szCs w:val="20"/>
              </w:rPr>
              <w:t>OP szakutasítás</w:t>
            </w:r>
          </w:p>
          <w:p w:rsidR="00AE3EF5" w:rsidRPr="00C330E0" w:rsidRDefault="00AE3EF5" w:rsidP="00FA5E78">
            <w:pPr>
              <w:ind w:firstLine="45"/>
              <w:jc w:val="both"/>
              <w:rPr>
                <w:rFonts w:cs="Times New Roman"/>
                <w:sz w:val="20"/>
                <w:szCs w:val="20"/>
              </w:rPr>
            </w:pP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Az adatok fajtája</w:t>
            </w:r>
          </w:p>
        </w:tc>
        <w:tc>
          <w:tcPr>
            <w:tcW w:w="4606" w:type="dxa"/>
            <w:vAlign w:val="center"/>
          </w:tcPr>
          <w:p w:rsidR="00AE3EF5" w:rsidRPr="008F0216" w:rsidRDefault="00AE3EF5" w:rsidP="00FA5E78">
            <w:pPr>
              <w:jc w:val="both"/>
              <w:rPr>
                <w:rFonts w:cs="Times New Roman"/>
                <w:sz w:val="20"/>
                <w:szCs w:val="20"/>
              </w:rPr>
            </w:pPr>
            <w:r>
              <w:rPr>
                <w:rFonts w:cs="Times New Roman"/>
                <w:sz w:val="20"/>
                <w:szCs w:val="20"/>
              </w:rPr>
              <w:t>Személyi állomány természetes személyazonosító adatai, személyi állomány pszichológiai állapotfelmérés eredménye</w:t>
            </w:r>
            <w:r w:rsidRPr="00B86247">
              <w:rPr>
                <w:rFonts w:cs="Times New Roman"/>
                <w:sz w:val="20"/>
                <w:szCs w:val="20"/>
              </w:rPr>
              <w:t xml:space="preserve">   </w:t>
            </w: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Az érintettek köre</w:t>
            </w:r>
          </w:p>
        </w:tc>
        <w:tc>
          <w:tcPr>
            <w:tcW w:w="4606" w:type="dxa"/>
            <w:vAlign w:val="center"/>
          </w:tcPr>
          <w:p w:rsidR="00AE3EF5" w:rsidRPr="008F0216" w:rsidRDefault="00AE3EF5" w:rsidP="00FA5E78">
            <w:pPr>
              <w:rPr>
                <w:rFonts w:cs="Times New Roman"/>
                <w:sz w:val="20"/>
                <w:szCs w:val="20"/>
              </w:rPr>
            </w:pPr>
            <w:r>
              <w:rPr>
                <w:rFonts w:cs="Times New Roman"/>
                <w:sz w:val="20"/>
                <w:szCs w:val="20"/>
              </w:rPr>
              <w:t>Rendvédelmi igazgatási alkalmazott, hivatásos állomány, munkavállalók</w:t>
            </w: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Az adatok forrása</w:t>
            </w:r>
          </w:p>
        </w:tc>
        <w:tc>
          <w:tcPr>
            <w:tcW w:w="4606" w:type="dxa"/>
            <w:vAlign w:val="center"/>
          </w:tcPr>
          <w:p w:rsidR="00AE3EF5" w:rsidRPr="008F0216" w:rsidRDefault="00AE3EF5" w:rsidP="00FA5E78">
            <w:pPr>
              <w:rPr>
                <w:rFonts w:cs="Times New Roman"/>
                <w:sz w:val="20"/>
                <w:szCs w:val="20"/>
              </w:rPr>
            </w:pPr>
            <w:r>
              <w:rPr>
                <w:rFonts w:cs="Times New Roman"/>
                <w:sz w:val="20"/>
                <w:szCs w:val="20"/>
              </w:rPr>
              <w:t xml:space="preserve">Pszichológiai állapotfelmérés eredménye, </w:t>
            </w:r>
            <w:r w:rsidRPr="00FA25A2">
              <w:rPr>
                <w:rFonts w:cs="Times New Roman"/>
                <w:sz w:val="20"/>
                <w:szCs w:val="20"/>
              </w:rPr>
              <w:t>személyazonosításra alkalmas hatósági igazolványok (személyazonosító, lakcí</w:t>
            </w:r>
            <w:r>
              <w:rPr>
                <w:rFonts w:cs="Times New Roman"/>
                <w:sz w:val="20"/>
                <w:szCs w:val="20"/>
              </w:rPr>
              <w:t>met igazoló, TB jelet igazoló)</w:t>
            </w: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 továbbított adatok fajtája</w:t>
            </w:r>
          </w:p>
        </w:tc>
        <w:tc>
          <w:tcPr>
            <w:tcW w:w="4606" w:type="dxa"/>
            <w:vAlign w:val="center"/>
          </w:tcPr>
          <w:p w:rsidR="00AE3EF5" w:rsidRPr="008F0216" w:rsidRDefault="00AE3EF5" w:rsidP="00FA5E78">
            <w:pPr>
              <w:rPr>
                <w:rFonts w:cs="Times New Roman"/>
                <w:sz w:val="20"/>
                <w:szCs w:val="20"/>
              </w:rPr>
            </w:pPr>
            <w:proofErr w:type="spellStart"/>
            <w:r>
              <w:rPr>
                <w:rFonts w:cs="Times New Roman"/>
                <w:sz w:val="20"/>
                <w:szCs w:val="20"/>
              </w:rPr>
              <w:t>eü</w:t>
            </w:r>
            <w:proofErr w:type="spellEnd"/>
            <w:r>
              <w:rPr>
                <w:rFonts w:cs="Times New Roman"/>
                <w:sz w:val="20"/>
                <w:szCs w:val="20"/>
              </w:rPr>
              <w:t xml:space="preserve">. különleges adatok </w:t>
            </w: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 továbbított adatok címzettje</w:t>
            </w:r>
          </w:p>
        </w:tc>
        <w:tc>
          <w:tcPr>
            <w:tcW w:w="4606" w:type="dxa"/>
          </w:tcPr>
          <w:p w:rsidR="00AE3EF5" w:rsidRPr="008F0216" w:rsidRDefault="00AE3EF5" w:rsidP="00FA5E78">
            <w:pPr>
              <w:jc w:val="both"/>
              <w:rPr>
                <w:rFonts w:cs="Times New Roman"/>
                <w:sz w:val="20"/>
                <w:szCs w:val="20"/>
              </w:rPr>
            </w:pPr>
            <w:r>
              <w:rPr>
                <w:rFonts w:cs="Times New Roman"/>
                <w:sz w:val="20"/>
                <w:szCs w:val="20"/>
              </w:rPr>
              <w:t xml:space="preserve">Rendvédelmi szerv orvosai, felülvizsgáló orvosai </w:t>
            </w: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Az adattovábbítás jogalapja</w:t>
            </w:r>
          </w:p>
        </w:tc>
        <w:tc>
          <w:tcPr>
            <w:tcW w:w="4606" w:type="dxa"/>
            <w:vAlign w:val="center"/>
          </w:tcPr>
          <w:p w:rsidR="00AE3EF5" w:rsidRPr="008F0216" w:rsidRDefault="00AE3EF5" w:rsidP="00FA5E78">
            <w:pPr>
              <w:rPr>
                <w:rFonts w:cs="Times New Roman"/>
                <w:sz w:val="20"/>
                <w:szCs w:val="20"/>
              </w:rPr>
            </w:pPr>
            <w:r>
              <w:rPr>
                <w:rFonts w:cs="Times New Roman"/>
                <w:sz w:val="20"/>
                <w:szCs w:val="20"/>
              </w:rPr>
              <w:t xml:space="preserve">Az egészségügyi adatok kezeléséről szóló 1997 évi </w:t>
            </w:r>
            <w:proofErr w:type="spellStart"/>
            <w:r>
              <w:rPr>
                <w:rFonts w:cs="Times New Roman"/>
                <w:sz w:val="20"/>
                <w:szCs w:val="20"/>
              </w:rPr>
              <w:t>XLVII.tv</w:t>
            </w:r>
            <w:proofErr w:type="spellEnd"/>
            <w:r>
              <w:rPr>
                <w:rFonts w:cs="Times New Roman"/>
                <w:sz w:val="20"/>
                <w:szCs w:val="20"/>
              </w:rPr>
              <w:t>.</w:t>
            </w: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Az egyes adatfajták törlési határideje</w:t>
            </w:r>
          </w:p>
        </w:tc>
        <w:tc>
          <w:tcPr>
            <w:tcW w:w="4606" w:type="dxa"/>
            <w:vAlign w:val="center"/>
          </w:tcPr>
          <w:p w:rsidR="00AE3EF5" w:rsidRPr="008F0216" w:rsidRDefault="00AE3EF5" w:rsidP="00FA5E78">
            <w:pPr>
              <w:rPr>
                <w:rFonts w:cs="Times New Roman"/>
                <w:sz w:val="20"/>
                <w:szCs w:val="20"/>
              </w:rPr>
            </w:pPr>
            <w:r w:rsidRPr="00C330E0">
              <w:rPr>
                <w:rFonts w:cs="Times New Roman"/>
                <w:bCs/>
                <w:iCs/>
                <w:sz w:val="20"/>
                <w:szCs w:val="20"/>
              </w:rPr>
              <w:t xml:space="preserve">91/2015. </w:t>
            </w:r>
            <w:r>
              <w:rPr>
                <w:rFonts w:cs="Times New Roman"/>
                <w:bCs/>
                <w:iCs/>
                <w:sz w:val="20"/>
                <w:szCs w:val="20"/>
              </w:rPr>
              <w:t xml:space="preserve">(XII.31) </w:t>
            </w:r>
            <w:r w:rsidRPr="00C330E0">
              <w:rPr>
                <w:rFonts w:cs="Times New Roman"/>
                <w:bCs/>
                <w:iCs/>
                <w:sz w:val="20"/>
                <w:szCs w:val="20"/>
              </w:rPr>
              <w:t>OP szakutasítás</w:t>
            </w:r>
            <w:r>
              <w:rPr>
                <w:rFonts w:cs="Times New Roman"/>
                <w:bCs/>
                <w:iCs/>
                <w:sz w:val="20"/>
                <w:szCs w:val="20"/>
              </w:rPr>
              <w:t xml:space="preserve"> alapján 50 év </w:t>
            </w:r>
          </w:p>
        </w:tc>
      </w:tr>
      <w:tr w:rsidR="00AE3EF5" w:rsidTr="00FA5E78">
        <w:trPr>
          <w:trHeight w:val="454"/>
        </w:trPr>
        <w:tc>
          <w:tcPr>
            <w:tcW w:w="4606" w:type="dxa"/>
            <w:vAlign w:val="center"/>
          </w:tcPr>
          <w:p w:rsidR="00AE3EF5" w:rsidRPr="008F0216" w:rsidRDefault="00AE3EF5" w:rsidP="00FA5E78">
            <w:pPr>
              <w:rPr>
                <w:rFonts w:cs="Times New Roman"/>
                <w:sz w:val="20"/>
                <w:szCs w:val="20"/>
              </w:rPr>
            </w:pPr>
            <w:r>
              <w:rPr>
                <w:rFonts w:cs="Times New Roman"/>
                <w:sz w:val="20"/>
                <w:szCs w:val="20"/>
              </w:rPr>
              <w:t>Az adatkezelő neve és címe (székhelye)</w:t>
            </w:r>
          </w:p>
        </w:tc>
        <w:tc>
          <w:tcPr>
            <w:tcW w:w="4606" w:type="dxa"/>
            <w:vAlign w:val="center"/>
          </w:tcPr>
          <w:p w:rsidR="00AE3EF5" w:rsidRPr="008F0216" w:rsidRDefault="00AE3EF5" w:rsidP="00FA5E78">
            <w:pPr>
              <w:rPr>
                <w:rFonts w:cs="Times New Roman"/>
                <w:sz w:val="20"/>
                <w:szCs w:val="20"/>
              </w:rPr>
            </w:pPr>
            <w:r>
              <w:rPr>
                <w:rFonts w:cs="Times New Roman"/>
                <w:sz w:val="20"/>
                <w:szCs w:val="20"/>
              </w:rPr>
              <w:t xml:space="preserve">Fiatalkorúak </w:t>
            </w:r>
            <w:proofErr w:type="spellStart"/>
            <w:r>
              <w:rPr>
                <w:rFonts w:cs="Times New Roman"/>
                <w:sz w:val="20"/>
                <w:szCs w:val="20"/>
              </w:rPr>
              <w:t>Bv</w:t>
            </w:r>
            <w:proofErr w:type="spellEnd"/>
            <w:r>
              <w:rPr>
                <w:rFonts w:cs="Times New Roman"/>
                <w:sz w:val="20"/>
                <w:szCs w:val="20"/>
              </w:rPr>
              <w:t>. Intézet 2316 Tököl, Ráckevei út 6.</w:t>
            </w:r>
          </w:p>
        </w:tc>
      </w:tr>
      <w:tr w:rsidR="00AE3EF5" w:rsidTr="00FA5E78">
        <w:trPr>
          <w:trHeight w:val="567"/>
        </w:trPr>
        <w:tc>
          <w:tcPr>
            <w:tcW w:w="4606" w:type="dxa"/>
            <w:vAlign w:val="center"/>
          </w:tcPr>
          <w:p w:rsidR="00AE3EF5" w:rsidRDefault="00AE3EF5" w:rsidP="00FA5E78">
            <w:pPr>
              <w:rPr>
                <w:rFonts w:cs="Times New Roman"/>
                <w:sz w:val="20"/>
                <w:szCs w:val="20"/>
              </w:rPr>
            </w:pPr>
            <w:r>
              <w:rPr>
                <w:rFonts w:cs="Times New Roman"/>
                <w:sz w:val="20"/>
                <w:szCs w:val="20"/>
              </w:rPr>
              <w:t>A tényleges adatkezelés helye, illetve az adatfeldolgozás helye</w:t>
            </w:r>
          </w:p>
        </w:tc>
        <w:tc>
          <w:tcPr>
            <w:tcW w:w="4606" w:type="dxa"/>
            <w:vAlign w:val="center"/>
          </w:tcPr>
          <w:p w:rsidR="00AE3EF5" w:rsidRPr="008F0216" w:rsidRDefault="00AE3EF5" w:rsidP="00FA5E78">
            <w:pPr>
              <w:rPr>
                <w:rFonts w:cs="Times New Roman"/>
                <w:sz w:val="20"/>
                <w:szCs w:val="20"/>
              </w:rPr>
            </w:pPr>
            <w:r>
              <w:rPr>
                <w:rFonts w:cs="Times New Roman"/>
                <w:sz w:val="20"/>
                <w:szCs w:val="20"/>
              </w:rPr>
              <w:t xml:space="preserve">Fiatalkorúak </w:t>
            </w:r>
            <w:proofErr w:type="spellStart"/>
            <w:r>
              <w:rPr>
                <w:rFonts w:cs="Times New Roman"/>
                <w:sz w:val="20"/>
                <w:szCs w:val="20"/>
              </w:rPr>
              <w:t>Bv</w:t>
            </w:r>
            <w:proofErr w:type="spellEnd"/>
            <w:r>
              <w:rPr>
                <w:rFonts w:cs="Times New Roman"/>
                <w:sz w:val="20"/>
                <w:szCs w:val="20"/>
              </w:rPr>
              <w:t>. Intézet 2316 Tököl, Ráckevei út 6.</w:t>
            </w:r>
          </w:p>
        </w:tc>
      </w:tr>
      <w:tr w:rsidR="008F6BAD" w:rsidTr="008F6BAD">
        <w:trPr>
          <w:trHeight w:val="567"/>
        </w:trPr>
        <w:tc>
          <w:tcPr>
            <w:tcW w:w="4606" w:type="dxa"/>
            <w:hideMark/>
          </w:tcPr>
          <w:p w:rsidR="008F6BAD" w:rsidRDefault="008F6BAD" w:rsidP="00D130EC">
            <w:pPr>
              <w:rPr>
                <w:rFonts w:cs="Times New Roman"/>
                <w:sz w:val="20"/>
                <w:szCs w:val="20"/>
              </w:rPr>
            </w:pPr>
            <w:r>
              <w:rPr>
                <w:rFonts w:cs="Times New Roman"/>
                <w:sz w:val="20"/>
                <w:szCs w:val="20"/>
              </w:rPr>
              <w:t>Az adatkezelés jogszerűsége és a személyes adatok megfelelő szintű biztonsága érdekében végrehajtott műszaki és szervezési biztonsági intézkedések általános leírása</w:t>
            </w:r>
          </w:p>
        </w:tc>
        <w:tc>
          <w:tcPr>
            <w:tcW w:w="4606" w:type="dxa"/>
            <w:hideMark/>
          </w:tcPr>
          <w:p w:rsidR="008F6BAD" w:rsidRDefault="008F6BAD" w:rsidP="00D130EC">
            <w:pPr>
              <w:rPr>
                <w:rFonts w:cs="Times New Roman"/>
                <w:sz w:val="20"/>
                <w:szCs w:val="20"/>
              </w:rPr>
            </w:pPr>
            <w:r>
              <w:rPr>
                <w:rFonts w:cs="Times New Roman"/>
                <w:sz w:val="20"/>
                <w:szCs w:val="20"/>
              </w:rPr>
              <w:t>A büntetés-végrehajtási szervezet Adatvédelmi és Adatbiztonsági Szabályzatában, Egységes Iratkezelési Szabályzatában, valamint Informatikai Biztonsági Szabályzatában foglalt intézkedések</w:t>
            </w:r>
          </w:p>
        </w:tc>
      </w:tr>
    </w:tbl>
    <w:p w:rsidR="004E1189" w:rsidRDefault="004E1189" w:rsidP="004E1189">
      <w:pPr>
        <w:spacing w:after="0" w:line="240" w:lineRule="auto"/>
        <w:jc w:val="both"/>
        <w:rPr>
          <w:rFonts w:cs="Times New Roman"/>
          <w:sz w:val="20"/>
          <w:szCs w:val="24"/>
        </w:rPr>
      </w:pPr>
      <w:r>
        <w:rPr>
          <w:rFonts w:cs="Times New Roman"/>
          <w:sz w:val="20"/>
          <w:szCs w:val="24"/>
        </w:rPr>
        <w:t>Az adatkezelő az érintett személyek személyes adatait eltérő célra nem használja fel.</w:t>
      </w:r>
    </w:p>
    <w:p w:rsidR="004E1189" w:rsidRDefault="004E1189" w:rsidP="004E1189">
      <w:pPr>
        <w:spacing w:after="0" w:line="240" w:lineRule="auto"/>
        <w:jc w:val="both"/>
        <w:rPr>
          <w:rFonts w:cs="Times New Roman"/>
          <w:sz w:val="20"/>
          <w:szCs w:val="24"/>
        </w:rPr>
      </w:pPr>
    </w:p>
    <w:p w:rsidR="004E1189" w:rsidRDefault="004E1189" w:rsidP="004E1189">
      <w:pPr>
        <w:spacing w:after="0" w:line="240" w:lineRule="auto"/>
        <w:jc w:val="both"/>
        <w:rPr>
          <w:rFonts w:cs="Times New Roman"/>
          <w:sz w:val="20"/>
          <w:szCs w:val="20"/>
        </w:rPr>
      </w:pPr>
      <w:r>
        <w:rPr>
          <w:rFonts w:cs="Times New Roman"/>
          <w:sz w:val="20"/>
          <w:szCs w:val="20"/>
        </w:rPr>
        <w:t>Az adatkezeléssel kapcsolatos jogok és jogorvoslati lehetőségek</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A GDPR 15-18. cikkében foglaltaknak megfelelően az adatkezeléssel összefüggésben az adatkezelő adatvédelmi tisztviselőjén keresztül jogosult:</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hozzáférési jog érvényesülése érdekében tájékoztatást kérni személyes adatai kezeléséről, valamint kérni a kezelt személyes adatok rendelkezésre bocsátását,</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helyesbítéshez való jog érvényesülése érdekében pontatlan adatok esetén helyesbítést vagy a hiányos adatok kiegészítését kérni,</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törléshez való jog érvényesülése érdekében kérni a hozzájárulás alapján kezelt adatok törlését,</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tiltakozáshoz való jog érvényesülése érdekében az adatkezelőre ruházott közhatalmi jogosítvány gyakorlásának keretében végzett feladata végrehajtásához szükséges, továbbá a jogos érdeken alapuló adatkezelés esetén adatai kezelése ellen tiltakozni,</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korlátozásához való jog érvényesülése érdekében kérni az adatkezelés korlátozását.</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Hozzájáruláson alapuló adatkezelés esetén jogosult a hozzájárulás bármely időpontban történő visszavonásához, mely nem érinti a visszavonás előtt a hozzájárulás alapján végrehajtott adatkezelés jogszerűségét.</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 xml:space="preserve">Tájékoztatás kérése alapján – amennyiben az nem esik törvényben meghatározott érdekből korlátozás alá – megismerheti, hogy személyes adatainak kezelése folyamatban van-e az adatkezelőnél, és jogosult arra, hogy a rá vonatkozóan kezelt adatok kapcsán tájékoztatást kapjon </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céljáról,</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jogalapjáról, </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adatkezelés időtartamáról,</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kezelt adatok köréről, amelyek másolatát kérelemre az érintett rendelkezésére bocsátja,</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 címzettjeiről, illetve a címzettek kategóriáiról,</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harmadik országba vagy nemzetközi szervezet részére történő továbbításról,</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adatok forrásáról, amennyiben azokat nem az érintettől gyűjtötte, </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automatizált döntéshozatal jellemzőiről, ha ilyet alkalmaz az adatkezelő,</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adatkezeléssel kapcsolatos </w:t>
      </w:r>
      <w:proofErr w:type="spellStart"/>
      <w:r>
        <w:rPr>
          <w:rFonts w:ascii="Times New Roman" w:hAnsi="Times New Roman" w:cs="Times New Roman"/>
          <w:sz w:val="20"/>
          <w:szCs w:val="20"/>
        </w:rPr>
        <w:t>érintetti</w:t>
      </w:r>
      <w:proofErr w:type="spellEnd"/>
      <w:r>
        <w:rPr>
          <w:rFonts w:ascii="Times New Roman" w:hAnsi="Times New Roman" w:cs="Times New Roman"/>
          <w:sz w:val="20"/>
          <w:szCs w:val="20"/>
        </w:rPr>
        <w:t xml:space="preserve"> jogairól,</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jogorvoslati lehetőségeiről.</w:t>
      </w:r>
    </w:p>
    <w:p w:rsidR="004E1189" w:rsidRDefault="004E1189" w:rsidP="004E1189">
      <w:pPr>
        <w:spacing w:after="0" w:line="240" w:lineRule="auto"/>
        <w:ind w:left="360"/>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 xml:space="preserve">A tájékoztatás iránti és az intézkedésre irányuló kérelmek ügyintézési határideje egy hónap, mely indokolt esetben két hónappal meghosszabbítható. A tájékoztatás és a kérelem alapján tett intézkedés díjmentes, azonban az egyértelműen megalapozatlan vagy túlzó kérelem esetén a tájékoztatás nyújtásával vagy a kért intézkedés meghozatalával járó adminisztratív költségekre </w:t>
      </w:r>
      <w:proofErr w:type="spellStart"/>
      <w:r>
        <w:rPr>
          <w:rFonts w:cs="Times New Roman"/>
          <w:sz w:val="20"/>
          <w:szCs w:val="20"/>
        </w:rPr>
        <w:t>észszerű</w:t>
      </w:r>
      <w:proofErr w:type="spellEnd"/>
      <w:r>
        <w:rPr>
          <w:rFonts w:cs="Times New Roman"/>
          <w:sz w:val="20"/>
          <w:szCs w:val="20"/>
        </w:rPr>
        <w:t xml:space="preserve"> összegű díj számítható fel vagy a kérelem alapján történő intézkedés megtagadható.</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Egyes esetekben törvényi rendelkezések alapján a tájékoztatást az adatkezelő megtagadhatja, ekkor a válaszban minden esetben megjelölésre kerül, hogy mely törvényi rendelkezés alapján került megtagadásra a tájékoztatás, és az érintett milyen jogorvoslati lehetőséget vehet igénybe.</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 xml:space="preserve">Az adat helyesbítésének (módosításának) kérése esetén a módosítani kért adat valóságát az érintettnek alá kell támasztania, és igazolnia kell azt is, hogy valóban az arra jogosult személy kéri az adat módosítását. </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 xml:space="preserve">Az adat törlésének, zárolásának kérése esetén az érintett kérheti adatainak törlését, amely alapján az adatkezelő köteles arra, hogy az érintettre vonatkozó adatokat indokolatlan késedelem nélkül törölje, ha: </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 személyes adatokra már nincs szükség abból a célból, amiért kezelték, </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ha az érintett hozzájárulásán alapult az adatok kezelése és azt visszavonta, és más jogalap az adatok további kezelését nem teszi jogszerűvé,</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tiltakozik az adatkezelés ellen,</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 személyes adatokat jogellenesen kezelték,</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a személyes adatokat az adatkezelőre alkalmazandó jogszabályban előírt jogi kötelezettség teljesítéséhez törölni kell.</w:t>
      </w:r>
    </w:p>
    <w:p w:rsidR="004E1189" w:rsidRDefault="004E1189" w:rsidP="004E1189">
      <w:pPr>
        <w:pStyle w:val="Listaszerbekezds"/>
        <w:spacing w:after="0" w:line="240" w:lineRule="auto"/>
        <w:jc w:val="both"/>
        <w:rPr>
          <w:rFonts w:ascii="Times New Roman" w:hAnsi="Times New Roman"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 xml:space="preserve">Olyan adatnak a törlését vagy zárolását azonban az adatkezelő nem végezheti el, amelynek a kezelésére közhatalom gyakorlása, jogi kötelezettsége teljesítése keretében van szükség, vagy amelyet jogi igények előterjesztéséhez, érvényesítéséhez, illetve védelméhez kezel. </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Az adatkezelés korlátozására abban az esetben van lehetőség, amennyiben</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vitatja a személyes adatok pontosságát, ez esetben a korlátozás arra az időtartamra vonatkozik, amely lehetővé teszi, hogy az adatkezelő ellenőrizze a személyes adatok pontosságát,</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az adatkezelés jogellenes, és az érintett ellenzi az adatok törlését, és </w:t>
      </w:r>
      <w:proofErr w:type="gramStart"/>
      <w:r>
        <w:rPr>
          <w:rFonts w:ascii="Times New Roman" w:hAnsi="Times New Roman" w:cs="Times New Roman"/>
          <w:sz w:val="20"/>
          <w:szCs w:val="20"/>
        </w:rPr>
        <w:t>ehelyett</w:t>
      </w:r>
      <w:proofErr w:type="gramEnd"/>
      <w:r>
        <w:rPr>
          <w:rFonts w:ascii="Times New Roman" w:hAnsi="Times New Roman" w:cs="Times New Roman"/>
          <w:sz w:val="20"/>
          <w:szCs w:val="20"/>
        </w:rPr>
        <w:t xml:space="preserve"> kéri azok felhasználásának korlátozását,</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adatkezelőnek már nincs szüksége a személyes adatokra adatkezelés céljából, de az érintett igényli azokat jogi igények előterjesztéséhez, érvényesítéséhez vagy védelméhez,</w:t>
      </w:r>
    </w:p>
    <w:p w:rsidR="004E1189" w:rsidRDefault="004E1189" w:rsidP="004E1189">
      <w:pPr>
        <w:pStyle w:val="Listaszerbekezds"/>
        <w:numPr>
          <w:ilvl w:val="0"/>
          <w:numId w:val="3"/>
        </w:numPr>
        <w:spacing w:after="0" w:line="240" w:lineRule="auto"/>
        <w:jc w:val="both"/>
        <w:rPr>
          <w:rFonts w:ascii="Times New Roman" w:hAnsi="Times New Roman" w:cs="Times New Roman"/>
          <w:sz w:val="20"/>
          <w:szCs w:val="20"/>
        </w:rPr>
      </w:pPr>
      <w:r>
        <w:rPr>
          <w:rFonts w:ascii="Times New Roman" w:hAnsi="Times New Roman" w:cs="Times New Roman"/>
          <w:sz w:val="20"/>
          <w:szCs w:val="20"/>
        </w:rPr>
        <w:t>az érintett a tiltakozott az adatkezelés ellen; ez esetben a korlátozás arra az időtartamra vonatkozik, amíg megállapításra nem kerül, hogy az adatkezelő jogos indokai elsőbbséget élveznek-e az érintett jogos indokaival szemben.</w:t>
      </w:r>
    </w:p>
    <w:p w:rsidR="004E1189" w:rsidRDefault="004E1189" w:rsidP="004E1189">
      <w:pPr>
        <w:spacing w:after="0" w:line="240" w:lineRule="auto"/>
        <w:ind w:left="360"/>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Ha az adat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A tiltakozáshoz való jog gyakorlása keretében jogosult arra, hogy a saját helyzetével kapcsolatos okokból bármikor tiltakozzon személyes adatainak az adatkezelőre ruházott közhatalmi jogosítvány gyakorlásának keretében végzett feladata végrehajtásához szükséges adatok kezelése, valamint a jogos érdeken alapuló adatkezelés ellen. Ebben az esetben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rsidR="004E1189" w:rsidRDefault="004E1189" w:rsidP="004E1189">
      <w:pPr>
        <w:spacing w:after="0" w:line="240" w:lineRule="auto"/>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 xml:space="preserve">Az adatkezeléssel kapcsolatos jogok érvényesítésének korlátozása, kérelme elutasítása, vagy a személyes adatok kezelésére vonatkozó jogszabályok megsértése esetén a Nemzeti Adatvédelmi és Információszabadság Hatósághoz fordulhat (székhely: 1125 Budapest, Szilágyi Erzsébet fasor 22/C., telefon: 06/1/391-1400, e-mail: </w:t>
      </w:r>
      <w:hyperlink r:id="rId8" w:history="1">
        <w:r>
          <w:rPr>
            <w:rStyle w:val="Hiperhivatkozs"/>
            <w:rFonts w:cs="Times New Roman"/>
            <w:sz w:val="20"/>
            <w:szCs w:val="20"/>
          </w:rPr>
          <w:t>ugyfelszolgalat@naih.hu</w:t>
        </w:r>
      </w:hyperlink>
      <w:r>
        <w:rPr>
          <w:rFonts w:cs="Times New Roman"/>
          <w:sz w:val="20"/>
          <w:szCs w:val="20"/>
        </w:rPr>
        <w:t>).</w:t>
      </w:r>
    </w:p>
    <w:p w:rsidR="004E1189" w:rsidRDefault="004E1189" w:rsidP="004E1189">
      <w:pPr>
        <w:spacing w:after="0" w:line="240" w:lineRule="auto"/>
        <w:ind w:left="720"/>
        <w:jc w:val="both"/>
        <w:rPr>
          <w:rFonts w:cs="Times New Roman"/>
          <w:sz w:val="20"/>
          <w:szCs w:val="20"/>
        </w:rPr>
      </w:pPr>
    </w:p>
    <w:p w:rsidR="004E1189" w:rsidRDefault="004E1189" w:rsidP="004E1189">
      <w:pPr>
        <w:spacing w:after="0" w:line="240" w:lineRule="auto"/>
        <w:jc w:val="both"/>
        <w:rPr>
          <w:rFonts w:cs="Times New Roman"/>
          <w:sz w:val="20"/>
          <w:szCs w:val="20"/>
        </w:rPr>
      </w:pPr>
      <w:r>
        <w:rPr>
          <w:rFonts w:cs="Times New Roman"/>
          <w:sz w:val="20"/>
          <w:szCs w:val="20"/>
        </w:rPr>
        <w:t xml:space="preserve">A személyes adatok kezelésére vonatkozó jogszabályok megsértése esetén jogosult továbbá bírósághoz fordulni. Az ügy elbírálása a törvényszék hatáskörébe tartozik, a per az érintett választása szerint az adatkezelő székhelye vagy az érintett lakóhelye alapján illetékes törvényszék előtt indítható meg. A törvényszékek felsorolását és elérhetőségeit az alábbi linken keresztül tekintheti meg: </w:t>
      </w:r>
      <w:hyperlink r:id="rId9" w:history="1">
        <w:r>
          <w:rPr>
            <w:rStyle w:val="Hiperhivatkozs"/>
            <w:rFonts w:cs="Times New Roman"/>
            <w:sz w:val="20"/>
            <w:szCs w:val="20"/>
          </w:rPr>
          <w:t>http://birosag.hu/torvenyszekek</w:t>
        </w:r>
      </w:hyperlink>
      <w:r>
        <w:rPr>
          <w:rFonts w:cs="Times New Roman"/>
          <w:sz w:val="20"/>
          <w:szCs w:val="20"/>
        </w:rPr>
        <w:t xml:space="preserve">. </w:t>
      </w:r>
    </w:p>
    <w:p w:rsidR="004E1189" w:rsidRDefault="004E1189" w:rsidP="004E1189">
      <w:pPr>
        <w:spacing w:after="0" w:line="240" w:lineRule="auto"/>
        <w:jc w:val="both"/>
        <w:rPr>
          <w:rFonts w:cs="Times New Roman"/>
          <w:sz w:val="20"/>
          <w:szCs w:val="20"/>
        </w:rPr>
      </w:pPr>
    </w:p>
    <w:p w:rsidR="00442CBA" w:rsidRDefault="00442CBA"/>
    <w:sectPr w:rsidR="00442CBA">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3EF5" w:rsidRDefault="00AE3EF5" w:rsidP="00AE3EF5">
      <w:pPr>
        <w:spacing w:after="0" w:line="240" w:lineRule="auto"/>
      </w:pPr>
      <w:r>
        <w:separator/>
      </w:r>
    </w:p>
  </w:endnote>
  <w:endnote w:type="continuationSeparator" w:id="0">
    <w:p w:rsidR="00AE3EF5" w:rsidRDefault="00AE3EF5" w:rsidP="00AE3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3EF5" w:rsidRDefault="00AE3EF5" w:rsidP="00AE3EF5">
      <w:pPr>
        <w:spacing w:after="0" w:line="240" w:lineRule="auto"/>
      </w:pPr>
      <w:r>
        <w:separator/>
      </w:r>
    </w:p>
  </w:footnote>
  <w:footnote w:type="continuationSeparator" w:id="0">
    <w:p w:rsidR="00AE3EF5" w:rsidRDefault="00AE3EF5" w:rsidP="00AE3EF5">
      <w:pPr>
        <w:spacing w:after="0" w:line="240" w:lineRule="auto"/>
      </w:pPr>
      <w:r>
        <w:continuationSeparator/>
      </w:r>
    </w:p>
  </w:footnote>
  <w:footnote w:id="1">
    <w:p w:rsidR="00671439" w:rsidRPr="00F861C4" w:rsidRDefault="00671439" w:rsidP="00F861C4">
      <w:pPr>
        <w:pStyle w:val="Lbjegyzetszveg"/>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3EF5" w:rsidRDefault="00AE3EF5" w:rsidP="00AE3EF5">
    <w:pPr>
      <w:pStyle w:val="lfej"/>
      <w:jc w:val="center"/>
      <w:rPr>
        <w:rFonts w:cs="Times New Roman"/>
      </w:rPr>
    </w:pPr>
    <w:r>
      <w:rPr>
        <w:rFonts w:cs="Times New Roman"/>
        <w:noProof/>
        <w:lang w:eastAsia="hu-HU"/>
      </w:rPr>
      <w:drawing>
        <wp:inline distT="0" distB="0" distL="0" distR="0" wp14:anchorId="0C900478" wp14:editId="0C082E3D">
          <wp:extent cx="455988" cy="836762"/>
          <wp:effectExtent l="0" t="0" r="1270" b="1905"/>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41131" w:rsidRDefault="00441131" w:rsidP="00441131">
    <w:pPr>
      <w:pStyle w:val="lfej"/>
      <w:jc w:val="center"/>
      <w:rPr>
        <w:rFonts w:cs="Times New Roman"/>
        <w:sz w:val="22"/>
      </w:rPr>
    </w:pPr>
    <w:r>
      <w:rPr>
        <w:rFonts w:cs="Times New Roman"/>
        <w:sz w:val="22"/>
      </w:rPr>
      <w:t xml:space="preserve">TÖKÖLI ORSZÁGOS BÜNTETÉS </w:t>
    </w:r>
    <w:r>
      <w:rPr>
        <w:rFonts w:cs="Times New Roman"/>
      </w:rPr>
      <w:t>-</w:t>
    </w:r>
    <w:r>
      <w:rPr>
        <w:rFonts w:cs="Times New Roman"/>
        <w:sz w:val="22"/>
      </w:rPr>
      <w:t>VÉGREHAJTÁSI</w:t>
    </w:r>
    <w:r>
      <w:rPr>
        <w:rFonts w:cs="Times New Roman"/>
      </w:rPr>
      <w:t xml:space="preserve"> </w:t>
    </w:r>
    <w:r>
      <w:rPr>
        <w:rFonts w:cs="Times New Roman"/>
        <w:szCs w:val="24"/>
      </w:rPr>
      <w:t>I</w:t>
    </w:r>
    <w:r>
      <w:rPr>
        <w:rFonts w:cs="Times New Roman"/>
        <w:sz w:val="22"/>
      </w:rPr>
      <w:t>NTÉZET</w:t>
    </w:r>
  </w:p>
  <w:p w:rsidR="00441131" w:rsidRDefault="00441131" w:rsidP="00441131">
    <w:pPr>
      <w:pStyle w:val="lfej"/>
      <w:jc w:val="center"/>
      <w:rPr>
        <w:rFonts w:cs="Times New Roman"/>
      </w:rPr>
    </w:pPr>
    <w:r>
      <w:rPr>
        <w:rFonts w:cs="Times New Roman"/>
        <w:sz w:val="22"/>
      </w:rPr>
      <w:t xml:space="preserve">FIATALKORÚAK BÜNTETÉS-VÉGREHAJTÁSI INTÉZETE </w:t>
    </w:r>
  </w:p>
  <w:p w:rsidR="00441131" w:rsidRDefault="004E1189" w:rsidP="00441131">
    <w:pPr>
      <w:spacing w:after="0" w:line="240" w:lineRule="auto"/>
      <w:jc w:val="center"/>
      <w:rPr>
        <w:rFonts w:cs="Times New Roman"/>
        <w:b/>
        <w:sz w:val="28"/>
        <w:szCs w:val="28"/>
      </w:rPr>
    </w:pPr>
    <w:proofErr w:type="spellStart"/>
    <w:r>
      <w:rPr>
        <w:rFonts w:cs="Times New Roman"/>
        <w:b/>
        <w:sz w:val="28"/>
        <w:szCs w:val="28"/>
      </w:rPr>
      <w:t>Érintetti</w:t>
    </w:r>
    <w:proofErr w:type="spellEnd"/>
    <w:r>
      <w:rPr>
        <w:rFonts w:cs="Times New Roman"/>
        <w:b/>
        <w:sz w:val="28"/>
        <w:szCs w:val="28"/>
      </w:rPr>
      <w:t xml:space="preserve"> tájékoztató </w:t>
    </w:r>
  </w:p>
  <w:p w:rsidR="00AE3EF5" w:rsidRDefault="00AE3EF5">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0156A"/>
    <w:multiLevelType w:val="hybridMultilevel"/>
    <w:tmpl w:val="61265AD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22DB6036"/>
    <w:multiLevelType w:val="hybridMultilevel"/>
    <w:tmpl w:val="E78A52FC"/>
    <w:lvl w:ilvl="0" w:tplc="42762E3A">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2">
    <w:nsid w:val="394A7B2E"/>
    <w:multiLevelType w:val="hybridMultilevel"/>
    <w:tmpl w:val="E82A2BF6"/>
    <w:lvl w:ilvl="0" w:tplc="F7E6EE18">
      <w:start w:val="5"/>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F5"/>
    <w:rsid w:val="00366865"/>
    <w:rsid w:val="00441131"/>
    <w:rsid w:val="00442CBA"/>
    <w:rsid w:val="004E1189"/>
    <w:rsid w:val="00671439"/>
    <w:rsid w:val="008F6BAD"/>
    <w:rsid w:val="00AE3EF5"/>
    <w:rsid w:val="00F861C4"/>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3EF5"/>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3EF5"/>
    <w:pPr>
      <w:ind w:left="720"/>
      <w:contextualSpacing/>
    </w:pPr>
    <w:rPr>
      <w:rFonts w:asciiTheme="minorHAnsi" w:hAnsiTheme="minorHAnsi"/>
      <w:sz w:val="22"/>
    </w:rPr>
  </w:style>
  <w:style w:type="table" w:styleId="Rcsostblzat">
    <w:name w:val="Table Grid"/>
    <w:basedOn w:val="Normltblzat"/>
    <w:uiPriority w:val="59"/>
    <w:rsid w:val="00AE3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AE3EF5"/>
    <w:pPr>
      <w:tabs>
        <w:tab w:val="center" w:pos="4536"/>
        <w:tab w:val="right" w:pos="9072"/>
      </w:tabs>
      <w:spacing w:after="0" w:line="240" w:lineRule="auto"/>
    </w:pPr>
  </w:style>
  <w:style w:type="character" w:customStyle="1" w:styleId="lfejChar">
    <w:name w:val="Élőfej Char"/>
    <w:basedOn w:val="Bekezdsalapbettpusa"/>
    <w:link w:val="lfej"/>
    <w:uiPriority w:val="99"/>
    <w:rsid w:val="00AE3EF5"/>
    <w:rPr>
      <w:rFonts w:ascii="Times New Roman" w:hAnsi="Times New Roman"/>
      <w:sz w:val="24"/>
    </w:rPr>
  </w:style>
  <w:style w:type="paragraph" w:styleId="llb">
    <w:name w:val="footer"/>
    <w:basedOn w:val="Norml"/>
    <w:link w:val="llbChar"/>
    <w:uiPriority w:val="99"/>
    <w:unhideWhenUsed/>
    <w:rsid w:val="00AE3EF5"/>
    <w:pPr>
      <w:tabs>
        <w:tab w:val="center" w:pos="4536"/>
        <w:tab w:val="right" w:pos="9072"/>
      </w:tabs>
      <w:spacing w:after="0" w:line="240" w:lineRule="auto"/>
    </w:pPr>
  </w:style>
  <w:style w:type="character" w:customStyle="1" w:styleId="llbChar">
    <w:name w:val="Élőláb Char"/>
    <w:basedOn w:val="Bekezdsalapbettpusa"/>
    <w:link w:val="llb"/>
    <w:uiPriority w:val="99"/>
    <w:rsid w:val="00AE3EF5"/>
    <w:rPr>
      <w:rFonts w:ascii="Times New Roman" w:hAnsi="Times New Roman"/>
      <w:sz w:val="24"/>
    </w:rPr>
  </w:style>
  <w:style w:type="paragraph" w:styleId="Buborkszveg">
    <w:name w:val="Balloon Text"/>
    <w:basedOn w:val="Norml"/>
    <w:link w:val="BuborkszvegChar"/>
    <w:uiPriority w:val="99"/>
    <w:semiHidden/>
    <w:unhideWhenUsed/>
    <w:rsid w:val="00AE3E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3EF5"/>
    <w:rPr>
      <w:rFonts w:ascii="Tahoma" w:hAnsi="Tahoma" w:cs="Tahoma"/>
      <w:sz w:val="16"/>
      <w:szCs w:val="16"/>
    </w:rPr>
  </w:style>
  <w:style w:type="paragraph" w:styleId="Lbjegyzetszveg">
    <w:name w:val="footnote text"/>
    <w:basedOn w:val="Norml"/>
    <w:link w:val="LbjegyzetszvegChar"/>
    <w:uiPriority w:val="99"/>
    <w:semiHidden/>
    <w:unhideWhenUsed/>
    <w:rsid w:val="00671439"/>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671439"/>
    <w:rPr>
      <w:sz w:val="20"/>
      <w:szCs w:val="20"/>
    </w:rPr>
  </w:style>
  <w:style w:type="character" w:styleId="Lbjegyzet-hivatkozs">
    <w:name w:val="footnote reference"/>
    <w:basedOn w:val="Bekezdsalapbettpusa"/>
    <w:uiPriority w:val="99"/>
    <w:semiHidden/>
    <w:unhideWhenUsed/>
    <w:rsid w:val="00671439"/>
    <w:rPr>
      <w:vertAlign w:val="superscript"/>
    </w:rPr>
  </w:style>
  <w:style w:type="character" w:styleId="Hiperhivatkozs">
    <w:name w:val="Hyperlink"/>
    <w:basedOn w:val="Bekezdsalapbettpusa"/>
    <w:uiPriority w:val="99"/>
    <w:semiHidden/>
    <w:unhideWhenUsed/>
    <w:rsid w:val="004E11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3EF5"/>
    <w:rPr>
      <w:rFonts w:ascii="Times New Roman" w:hAnsi="Times New Roman"/>
      <w:sz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E3EF5"/>
    <w:pPr>
      <w:ind w:left="720"/>
      <w:contextualSpacing/>
    </w:pPr>
    <w:rPr>
      <w:rFonts w:asciiTheme="minorHAnsi" w:hAnsiTheme="minorHAnsi"/>
      <w:sz w:val="22"/>
    </w:rPr>
  </w:style>
  <w:style w:type="table" w:styleId="Rcsostblzat">
    <w:name w:val="Table Grid"/>
    <w:basedOn w:val="Normltblzat"/>
    <w:uiPriority w:val="59"/>
    <w:rsid w:val="00AE3EF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fej">
    <w:name w:val="header"/>
    <w:basedOn w:val="Norml"/>
    <w:link w:val="lfejChar"/>
    <w:uiPriority w:val="99"/>
    <w:unhideWhenUsed/>
    <w:rsid w:val="00AE3EF5"/>
    <w:pPr>
      <w:tabs>
        <w:tab w:val="center" w:pos="4536"/>
        <w:tab w:val="right" w:pos="9072"/>
      </w:tabs>
      <w:spacing w:after="0" w:line="240" w:lineRule="auto"/>
    </w:pPr>
  </w:style>
  <w:style w:type="character" w:customStyle="1" w:styleId="lfejChar">
    <w:name w:val="Élőfej Char"/>
    <w:basedOn w:val="Bekezdsalapbettpusa"/>
    <w:link w:val="lfej"/>
    <w:uiPriority w:val="99"/>
    <w:rsid w:val="00AE3EF5"/>
    <w:rPr>
      <w:rFonts w:ascii="Times New Roman" w:hAnsi="Times New Roman"/>
      <w:sz w:val="24"/>
    </w:rPr>
  </w:style>
  <w:style w:type="paragraph" w:styleId="llb">
    <w:name w:val="footer"/>
    <w:basedOn w:val="Norml"/>
    <w:link w:val="llbChar"/>
    <w:uiPriority w:val="99"/>
    <w:unhideWhenUsed/>
    <w:rsid w:val="00AE3EF5"/>
    <w:pPr>
      <w:tabs>
        <w:tab w:val="center" w:pos="4536"/>
        <w:tab w:val="right" w:pos="9072"/>
      </w:tabs>
      <w:spacing w:after="0" w:line="240" w:lineRule="auto"/>
    </w:pPr>
  </w:style>
  <w:style w:type="character" w:customStyle="1" w:styleId="llbChar">
    <w:name w:val="Élőláb Char"/>
    <w:basedOn w:val="Bekezdsalapbettpusa"/>
    <w:link w:val="llb"/>
    <w:uiPriority w:val="99"/>
    <w:rsid w:val="00AE3EF5"/>
    <w:rPr>
      <w:rFonts w:ascii="Times New Roman" w:hAnsi="Times New Roman"/>
      <w:sz w:val="24"/>
    </w:rPr>
  </w:style>
  <w:style w:type="paragraph" w:styleId="Buborkszveg">
    <w:name w:val="Balloon Text"/>
    <w:basedOn w:val="Norml"/>
    <w:link w:val="BuborkszvegChar"/>
    <w:uiPriority w:val="99"/>
    <w:semiHidden/>
    <w:unhideWhenUsed/>
    <w:rsid w:val="00AE3EF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E3EF5"/>
    <w:rPr>
      <w:rFonts w:ascii="Tahoma" w:hAnsi="Tahoma" w:cs="Tahoma"/>
      <w:sz w:val="16"/>
      <w:szCs w:val="16"/>
    </w:rPr>
  </w:style>
  <w:style w:type="paragraph" w:styleId="Lbjegyzetszveg">
    <w:name w:val="footnote text"/>
    <w:basedOn w:val="Norml"/>
    <w:link w:val="LbjegyzetszvegChar"/>
    <w:uiPriority w:val="99"/>
    <w:semiHidden/>
    <w:unhideWhenUsed/>
    <w:rsid w:val="00671439"/>
    <w:pPr>
      <w:spacing w:after="0" w:line="240" w:lineRule="auto"/>
    </w:pPr>
    <w:rPr>
      <w:rFonts w:asciiTheme="minorHAnsi" w:hAnsiTheme="minorHAnsi"/>
      <w:sz w:val="20"/>
      <w:szCs w:val="20"/>
    </w:rPr>
  </w:style>
  <w:style w:type="character" w:customStyle="1" w:styleId="LbjegyzetszvegChar">
    <w:name w:val="Lábjegyzetszöveg Char"/>
    <w:basedOn w:val="Bekezdsalapbettpusa"/>
    <w:link w:val="Lbjegyzetszveg"/>
    <w:uiPriority w:val="99"/>
    <w:semiHidden/>
    <w:rsid w:val="00671439"/>
    <w:rPr>
      <w:sz w:val="20"/>
      <w:szCs w:val="20"/>
    </w:rPr>
  </w:style>
  <w:style w:type="character" w:styleId="Lbjegyzet-hivatkozs">
    <w:name w:val="footnote reference"/>
    <w:basedOn w:val="Bekezdsalapbettpusa"/>
    <w:uiPriority w:val="99"/>
    <w:semiHidden/>
    <w:unhideWhenUsed/>
    <w:rsid w:val="00671439"/>
    <w:rPr>
      <w:vertAlign w:val="superscript"/>
    </w:rPr>
  </w:style>
  <w:style w:type="character" w:styleId="Hiperhivatkozs">
    <w:name w:val="Hyperlink"/>
    <w:basedOn w:val="Bekezdsalapbettpusa"/>
    <w:uiPriority w:val="99"/>
    <w:semiHidden/>
    <w:unhideWhenUsed/>
    <w:rsid w:val="004E11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38320">
      <w:bodyDiv w:val="1"/>
      <w:marLeft w:val="0"/>
      <w:marRight w:val="0"/>
      <w:marTop w:val="0"/>
      <w:marBottom w:val="0"/>
      <w:divBdr>
        <w:top w:val="none" w:sz="0" w:space="0" w:color="auto"/>
        <w:left w:val="none" w:sz="0" w:space="0" w:color="auto"/>
        <w:bottom w:val="none" w:sz="0" w:space="0" w:color="auto"/>
        <w:right w:val="none" w:sz="0" w:space="0" w:color="auto"/>
      </w:divBdr>
    </w:div>
    <w:div w:id="1062751461">
      <w:bodyDiv w:val="1"/>
      <w:marLeft w:val="0"/>
      <w:marRight w:val="0"/>
      <w:marTop w:val="0"/>
      <w:marBottom w:val="0"/>
      <w:divBdr>
        <w:top w:val="none" w:sz="0" w:space="0" w:color="auto"/>
        <w:left w:val="none" w:sz="0" w:space="0" w:color="auto"/>
        <w:bottom w:val="none" w:sz="0" w:space="0" w:color="auto"/>
        <w:right w:val="none" w:sz="0" w:space="0" w:color="auto"/>
      </w:divBdr>
    </w:div>
    <w:div w:id="1836140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yfelszolgalat@naih.h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birosag.hu/torvenyszeke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1119</Words>
  <Characters>7725</Characters>
  <Application>Microsoft Office Word</Application>
  <DocSecurity>0</DocSecurity>
  <Lines>64</Lines>
  <Paragraphs>17</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8827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monostory.peter</dc:creator>
  <cp:lastModifiedBy>monostory.peter</cp:lastModifiedBy>
  <cp:revision>4</cp:revision>
  <dcterms:created xsi:type="dcterms:W3CDTF">2020-03-25T10:38:00Z</dcterms:created>
  <dcterms:modified xsi:type="dcterms:W3CDTF">2020-04-01T09:57:00Z</dcterms:modified>
</cp:coreProperties>
</file>