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CA2F6B" w:rsidRDefault="00CA2F6B" w:rsidP="00900E47">
      <w:pPr>
        <w:spacing w:before="60" w:after="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pStyle w:val="Cmsor1"/>
              <w:spacing w:after="0"/>
              <w:jc w:val="both"/>
              <w:outlineLvl w:val="0"/>
              <w:rPr>
                <w:szCs w:val="20"/>
              </w:rPr>
            </w:pPr>
            <w:bookmarkStart w:id="1" w:name="_Toc26182699"/>
            <w:bookmarkStart w:id="2" w:name="_Toc65328344"/>
            <w:r w:rsidRPr="00C730D4">
              <w:rPr>
                <w:szCs w:val="20"/>
              </w:rPr>
              <w:t>9. Az enyhébb végrehajtási szabályok alkalmazása és a társadalmi kötödés programba bevonás feltételeinek megvizsgálása</w:t>
            </w:r>
            <w:bookmarkEnd w:id="1"/>
            <w:r w:rsidRPr="00C730D4">
              <w:rPr>
                <w:szCs w:val="20"/>
              </w:rPr>
              <w:t>, első bűntényes körletre behelyezés, átmeneti csoportba helyezés feltételeinek vizsgálata</w:t>
            </w:r>
            <w:bookmarkEnd w:id="2"/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törvényben meghatározott feladatok teljesítése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büntetések, az intézkedések, egyes kényszerintézkedések és a szabálysértési elzárás végrehajtásáról szóló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2013. CCXL. törvény 76.§ (2) bekezdés t) pont;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nyilvántartási szám, személyes adatok az elítélt által eltávozásra, illetve letelepedésre megjelölt lakás tekintetében az elítélt lakáshasználati jogára, lakáskörülményeire, befogadó környezetre, az elítélt családi állapotára, iskolai végzettségére, szakképzettségére, foglalkozására,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munkaalkalmassági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vizsgálat eredményére, bűnismétlési kockázat valószínűségére és az azt megalapozó adatokra vonatkozóan 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enyhébb végrehajtási szabály hatálya alatt álló elítélt, a társadalmi kötödés programba helyezett elítélt, első bűntényes körletre, átmeneti csoportba helyezett elítélt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környezettanulmány, rendőrségi információ, végrehajtásra vonatkozó iratok, Főnix rendszer fogvatartotti nyilvántartás, Robot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zsaru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lakóhely, születési helye és ideje, anyja neve, fényképe, lakóhelye/tartózkodási helye, folyamatban lévő büntetőügyek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büntetés-végrehajtási bíró, a lakóhely szerint illetékes büntetés-végrehajtási pártfogó felügyelő, a rendőrség;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büntetések, az intézkedések, egyes kényszerintézkedések és a szabálysértési elzárás végrehajtásáról szóló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2013. CCXL. törvény 104.§. (1a) és (5) bekezdés;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25 év; </w:t>
            </w: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A47E17" w:rsidRPr="00C730D4" w:rsidTr="008B2B67">
        <w:trPr>
          <w:trHeight w:val="454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A47E17" w:rsidRPr="00C730D4" w:rsidTr="008B2B67">
        <w:trPr>
          <w:trHeight w:val="567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A47E17" w:rsidRPr="00C730D4" w:rsidRDefault="00A47E17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A47E17" w:rsidRPr="00C730D4" w:rsidTr="008B2B67">
        <w:trPr>
          <w:trHeight w:val="567"/>
        </w:trPr>
        <w:tc>
          <w:tcPr>
            <w:tcW w:w="2903" w:type="dxa"/>
          </w:tcPr>
          <w:p w:rsidR="00A47E17" w:rsidRPr="00C730D4" w:rsidRDefault="00A47E17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9" w:type="dxa"/>
          </w:tcPr>
          <w:p w:rsidR="00A47E17" w:rsidRDefault="00A47E17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Kapcsolódó adatvédelmi nyilvántartás: 12. </w:t>
            </w:r>
          </w:p>
          <w:p w:rsidR="00D1688C" w:rsidRPr="00C730D4" w:rsidRDefault="00D1688C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A47E17" w:rsidRDefault="00A47E17" w:rsidP="00CA2F6B">
      <w:pPr>
        <w:rPr>
          <w:rFonts w:ascii="Times New Roman" w:hAnsi="Times New Roman" w:cs="Times New Roman"/>
          <w:sz w:val="20"/>
          <w:szCs w:val="20"/>
        </w:rPr>
      </w:pPr>
    </w:p>
    <w:p w:rsidR="00DE4817" w:rsidRPr="00A47E17" w:rsidRDefault="00DE4817" w:rsidP="00A47E17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26D98"/>
    <w:rsid w:val="00041FF3"/>
    <w:rsid w:val="0013710F"/>
    <w:rsid w:val="00321C5A"/>
    <w:rsid w:val="00433640"/>
    <w:rsid w:val="00573CC7"/>
    <w:rsid w:val="007A248F"/>
    <w:rsid w:val="00871CD3"/>
    <w:rsid w:val="008B2B67"/>
    <w:rsid w:val="00900E47"/>
    <w:rsid w:val="00A47E17"/>
    <w:rsid w:val="00AF2920"/>
    <w:rsid w:val="00AF7E35"/>
    <w:rsid w:val="00B61426"/>
    <w:rsid w:val="00B86BC0"/>
    <w:rsid w:val="00C042B3"/>
    <w:rsid w:val="00C91A71"/>
    <w:rsid w:val="00CA2F6B"/>
    <w:rsid w:val="00CB01FF"/>
    <w:rsid w:val="00CD6F42"/>
    <w:rsid w:val="00D1688C"/>
    <w:rsid w:val="00D37F4E"/>
    <w:rsid w:val="00DE4817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6</cp:revision>
  <dcterms:created xsi:type="dcterms:W3CDTF">2021-09-14T12:03:00Z</dcterms:created>
  <dcterms:modified xsi:type="dcterms:W3CDTF">2021-10-20T07:47:00Z</dcterms:modified>
</cp:coreProperties>
</file>