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8926E3">
      <w:pPr>
        <w:spacing w:after="0" w:line="240" w:lineRule="auto"/>
        <w:jc w:val="center"/>
        <w:rPr>
          <w:rFonts w:ascii="Times New Roman" w:hAnsi="Times New Roman" w:cs="Times New Roman"/>
          <w:sz w:val="24"/>
          <w:szCs w:val="24"/>
        </w:rPr>
      </w:pPr>
    </w:p>
    <w:p w:rsidR="008926E3" w:rsidRPr="00270603" w:rsidRDefault="008926E3" w:rsidP="008926E3">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ED563F">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5F6FD4" w:rsidRDefault="00022177" w:rsidP="002F3D91">
            <w:pPr>
              <w:jc w:val="both"/>
              <w:rPr>
                <w:rFonts w:ascii="Times New Roman" w:hAnsi="Times New Roman" w:cs="Times New Roman"/>
              </w:rPr>
            </w:pPr>
            <w:r>
              <w:rPr>
                <w:rFonts w:ascii="Times New Roman" w:hAnsi="Times New Roman" w:cs="Times New Roman"/>
              </w:rPr>
              <w:t>Ki és beléptetés során keletkezett adatok nyilvántartása</w:t>
            </w:r>
            <w:r w:rsidR="002F3D91">
              <w:rPr>
                <w:rFonts w:ascii="Times New Roman" w:hAnsi="Times New Roman" w:cs="Times New Roman"/>
              </w:rPr>
              <w:t>.</w:t>
            </w:r>
          </w:p>
        </w:tc>
      </w:tr>
      <w:tr w:rsidR="00F24CF2" w:rsidTr="00A515FE">
        <w:trPr>
          <w:trHeight w:val="454"/>
        </w:trPr>
        <w:tc>
          <w:tcPr>
            <w:tcW w:w="4606" w:type="dxa"/>
          </w:tcPr>
          <w:p w:rsidR="00F24CF2" w:rsidRPr="008F0216" w:rsidRDefault="00F24CF2" w:rsidP="00ED563F">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F24CF2" w:rsidRPr="005F6FD4" w:rsidRDefault="002F3D91" w:rsidP="007D5EF6">
            <w:pPr>
              <w:jc w:val="both"/>
              <w:rPr>
                <w:rFonts w:ascii="Times New Roman" w:hAnsi="Times New Roman" w:cs="Times New Roman"/>
              </w:rPr>
            </w:pPr>
            <w:r>
              <w:rPr>
                <w:rFonts w:ascii="Times New Roman" w:hAnsi="Times New Roman" w:cs="Times New Roman"/>
              </w:rPr>
              <w:t xml:space="preserve">A Veszprém </w:t>
            </w:r>
            <w:r w:rsidR="007D5EF6">
              <w:rPr>
                <w:rFonts w:ascii="Times New Roman" w:hAnsi="Times New Roman" w:cs="Times New Roman"/>
              </w:rPr>
              <w:t>Várm</w:t>
            </w:r>
            <w:r>
              <w:rPr>
                <w:rFonts w:ascii="Times New Roman" w:hAnsi="Times New Roman" w:cs="Times New Roman"/>
              </w:rPr>
              <w:t xml:space="preserve">egyei </w:t>
            </w:r>
            <w:r w:rsidRPr="002F3D91">
              <w:rPr>
                <w:rFonts w:ascii="Times New Roman" w:hAnsi="Times New Roman" w:cs="Times New Roman"/>
              </w:rPr>
              <w:t>Büntetés-végrehajtás</w:t>
            </w:r>
            <w:r>
              <w:rPr>
                <w:rFonts w:ascii="Times New Roman" w:hAnsi="Times New Roman" w:cs="Times New Roman"/>
              </w:rPr>
              <w:t xml:space="preserve">i Intézet </w:t>
            </w:r>
            <w:r w:rsidRPr="002F3D91">
              <w:rPr>
                <w:rFonts w:ascii="Times New Roman" w:hAnsi="Times New Roman" w:cs="Times New Roman"/>
              </w:rPr>
              <w:t>területére belépő sze</w:t>
            </w:r>
            <w:r>
              <w:rPr>
                <w:rFonts w:ascii="Times New Roman" w:hAnsi="Times New Roman" w:cs="Times New Roman"/>
              </w:rPr>
              <w:t xml:space="preserve">mélyek személyazonosságának és </w:t>
            </w:r>
            <w:r w:rsidRPr="002F3D91">
              <w:rPr>
                <w:rFonts w:ascii="Times New Roman" w:hAnsi="Times New Roman" w:cs="Times New Roman"/>
              </w:rPr>
              <w:t>a belépés indokának megállapítása és rögzítése</w:t>
            </w:r>
            <w:r>
              <w:rPr>
                <w:rFonts w:ascii="Times New Roman" w:hAnsi="Times New Roman" w:cs="Times New Roman"/>
              </w:rPr>
              <w:t>.</w:t>
            </w:r>
          </w:p>
        </w:tc>
      </w:tr>
      <w:tr w:rsidR="00F24CF2" w:rsidTr="00A515FE">
        <w:trPr>
          <w:trHeight w:val="454"/>
        </w:trPr>
        <w:tc>
          <w:tcPr>
            <w:tcW w:w="4606" w:type="dxa"/>
          </w:tcPr>
          <w:p w:rsidR="00F24CF2" w:rsidRPr="008F0216" w:rsidRDefault="00F24CF2" w:rsidP="00ED563F">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F24CF2" w:rsidRPr="005F6FD4" w:rsidRDefault="002F3D91" w:rsidP="002F3D91">
            <w:pPr>
              <w:jc w:val="both"/>
              <w:rPr>
                <w:rFonts w:ascii="Times New Roman" w:hAnsi="Times New Roman" w:cs="Times New Roman"/>
              </w:rPr>
            </w:pPr>
            <w:r w:rsidRPr="002F3D91">
              <w:rPr>
                <w:rFonts w:ascii="Times New Roman" w:hAnsi="Times New Roman" w:cs="Times New Roman"/>
              </w:rPr>
              <w:t>GDPR 6. cikk (1) beke</w:t>
            </w:r>
            <w:r>
              <w:rPr>
                <w:rFonts w:ascii="Times New Roman" w:hAnsi="Times New Roman" w:cs="Times New Roman"/>
              </w:rPr>
              <w:t xml:space="preserve">zdés c) pont; 1995. évi CVII. </w:t>
            </w:r>
            <w:r w:rsidRPr="002F3D91">
              <w:rPr>
                <w:rFonts w:ascii="Times New Roman" w:hAnsi="Times New Roman" w:cs="Times New Roman"/>
              </w:rPr>
              <w:t>törvény 14. §; 44/2007. (IX. 19.) IRM rendelet</w:t>
            </w:r>
          </w:p>
        </w:tc>
      </w:tr>
      <w:tr w:rsidR="00F24CF2" w:rsidTr="00A515FE">
        <w:trPr>
          <w:trHeight w:val="454"/>
        </w:trPr>
        <w:tc>
          <w:tcPr>
            <w:tcW w:w="4606" w:type="dxa"/>
          </w:tcPr>
          <w:p w:rsidR="00F24CF2" w:rsidRPr="008F0216" w:rsidRDefault="00F24CF2" w:rsidP="00ED563F">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1B7B78" w:rsidRPr="005F6FD4" w:rsidRDefault="002F3D91" w:rsidP="008F0216">
            <w:pPr>
              <w:jc w:val="both"/>
              <w:rPr>
                <w:rFonts w:ascii="Times New Roman" w:hAnsi="Times New Roman" w:cs="Times New Roman"/>
              </w:rPr>
            </w:pPr>
            <w:r w:rsidRPr="002F3D91">
              <w:rPr>
                <w:rFonts w:ascii="Times New Roman" w:hAnsi="Times New Roman" w:cs="Times New Roman"/>
              </w:rPr>
              <w:t>Személyazonosító adatok</w:t>
            </w:r>
          </w:p>
        </w:tc>
      </w:tr>
      <w:tr w:rsidR="00F24CF2" w:rsidTr="00A515FE">
        <w:trPr>
          <w:trHeight w:val="454"/>
        </w:trPr>
        <w:tc>
          <w:tcPr>
            <w:tcW w:w="4606" w:type="dxa"/>
          </w:tcPr>
          <w:p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F24CF2" w:rsidRPr="005F6FD4" w:rsidRDefault="00CA1B70" w:rsidP="002F3D91">
            <w:pPr>
              <w:jc w:val="both"/>
              <w:rPr>
                <w:rFonts w:ascii="Times New Roman" w:hAnsi="Times New Roman" w:cs="Times New Roman"/>
              </w:rPr>
            </w:pPr>
            <w:r w:rsidRPr="005F6FD4">
              <w:rPr>
                <w:rFonts w:ascii="Times New Roman" w:hAnsi="Times New Roman" w:cs="Times New Roman"/>
              </w:rPr>
              <w:t xml:space="preserve">A </w:t>
            </w:r>
            <w:r w:rsidR="007D5EF6">
              <w:rPr>
                <w:rFonts w:ascii="Times New Roman" w:hAnsi="Times New Roman" w:cs="Times New Roman"/>
              </w:rPr>
              <w:t>Veszprém Várm</w:t>
            </w:r>
            <w:r w:rsidR="002F3D91">
              <w:rPr>
                <w:rFonts w:ascii="Times New Roman" w:hAnsi="Times New Roman" w:cs="Times New Roman"/>
              </w:rPr>
              <w:t>egyei Büntetés-végrehajtási Intézet területére</w:t>
            </w:r>
            <w:r w:rsidR="002F3D91" w:rsidRPr="002F3D91">
              <w:rPr>
                <w:rFonts w:ascii="Times New Roman" w:hAnsi="Times New Roman" w:cs="Times New Roman"/>
              </w:rPr>
              <w:t xml:space="preserve"> belépni szándékozó személye</w:t>
            </w:r>
            <w:r w:rsidR="002F3D91">
              <w:rPr>
                <w:rFonts w:ascii="Times New Roman" w:hAnsi="Times New Roman" w:cs="Times New Roman"/>
              </w:rPr>
              <w:t>k.</w:t>
            </w:r>
          </w:p>
        </w:tc>
      </w:tr>
      <w:tr w:rsidR="00F24CF2" w:rsidTr="00A515FE">
        <w:trPr>
          <w:trHeight w:val="454"/>
        </w:trPr>
        <w:tc>
          <w:tcPr>
            <w:tcW w:w="4606" w:type="dxa"/>
          </w:tcPr>
          <w:p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F24CF2" w:rsidRPr="005F6FD4" w:rsidRDefault="00824ED6" w:rsidP="00824ED6">
            <w:pPr>
              <w:jc w:val="both"/>
              <w:rPr>
                <w:rFonts w:ascii="Times New Roman" w:hAnsi="Times New Roman" w:cs="Times New Roman"/>
              </w:rPr>
            </w:pPr>
            <w:r>
              <w:rPr>
                <w:rFonts w:ascii="Times New Roman" w:hAnsi="Times New Roman" w:cs="Times New Roman"/>
              </w:rPr>
              <w:t xml:space="preserve">Személyazonosításra alkalmas okmányok,  szolgálati </w:t>
            </w:r>
            <w:r w:rsidRPr="00824ED6">
              <w:rPr>
                <w:rFonts w:ascii="Times New Roman" w:hAnsi="Times New Roman" w:cs="Times New Roman"/>
              </w:rPr>
              <w:t>igazolvány, mágneskártya, megbízólevé</w:t>
            </w:r>
            <w:r>
              <w:rPr>
                <w:rFonts w:ascii="Times New Roman" w:hAnsi="Times New Roman" w:cs="Times New Roman"/>
              </w:rPr>
              <w:t>l, k</w:t>
            </w:r>
            <w:r w:rsidR="005C2340" w:rsidRPr="005F6FD4">
              <w:rPr>
                <w:rFonts w:ascii="Times New Roman" w:hAnsi="Times New Roman" w:cs="Times New Roman"/>
              </w:rPr>
              <w:t xml:space="preserve">apcsolattartói </w:t>
            </w:r>
            <w:r>
              <w:rPr>
                <w:rFonts w:ascii="Times New Roman" w:hAnsi="Times New Roman" w:cs="Times New Roman"/>
              </w:rPr>
              <w:t>nyilatkozatok.</w:t>
            </w:r>
          </w:p>
        </w:tc>
      </w:tr>
      <w:tr w:rsidR="00F24CF2" w:rsidTr="00A515FE">
        <w:trPr>
          <w:trHeight w:val="454"/>
        </w:trPr>
        <w:tc>
          <w:tcPr>
            <w:tcW w:w="4606" w:type="dxa"/>
          </w:tcPr>
          <w:p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F24CF2" w:rsidRPr="008F0216" w:rsidRDefault="00824ED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24CF2" w:rsidTr="00A515FE">
        <w:trPr>
          <w:trHeight w:val="454"/>
        </w:trPr>
        <w:tc>
          <w:tcPr>
            <w:tcW w:w="4606" w:type="dxa"/>
          </w:tcPr>
          <w:p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F24CF2" w:rsidRPr="005F6FD4" w:rsidRDefault="00824ED6" w:rsidP="008F0216">
            <w:pPr>
              <w:jc w:val="both"/>
              <w:rPr>
                <w:rFonts w:ascii="Times New Roman" w:hAnsi="Times New Roman" w:cs="Times New Roman"/>
                <w:sz w:val="20"/>
                <w:szCs w:val="20"/>
              </w:rPr>
            </w:pPr>
            <w:r>
              <w:rPr>
                <w:rFonts w:ascii="Times New Roman" w:hAnsi="Times New Roman" w:cs="Times New Roman"/>
              </w:rPr>
              <w:t>-</w:t>
            </w:r>
          </w:p>
        </w:tc>
      </w:tr>
      <w:tr w:rsidR="00F24CF2" w:rsidTr="00A515FE">
        <w:trPr>
          <w:trHeight w:val="454"/>
        </w:trPr>
        <w:tc>
          <w:tcPr>
            <w:tcW w:w="4606" w:type="dxa"/>
          </w:tcPr>
          <w:p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F24CF2" w:rsidRPr="008F0216" w:rsidRDefault="00824ED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24CF2" w:rsidTr="00A515FE">
        <w:trPr>
          <w:trHeight w:val="454"/>
        </w:trPr>
        <w:tc>
          <w:tcPr>
            <w:tcW w:w="4606" w:type="dxa"/>
          </w:tcPr>
          <w:p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F24CF2" w:rsidRPr="00824ED6" w:rsidRDefault="00824ED6" w:rsidP="00824ED6">
            <w:pPr>
              <w:jc w:val="both"/>
              <w:rPr>
                <w:rFonts w:ascii="Times New Roman" w:hAnsi="Times New Roman" w:cs="Times New Roman"/>
              </w:rPr>
            </w:pPr>
            <w:r w:rsidRPr="00824ED6">
              <w:rPr>
                <w:rFonts w:ascii="Times New Roman" w:hAnsi="Times New Roman" w:cs="Times New Roman"/>
              </w:rPr>
              <w:t>A köziratokról, a közlevéltárakról és a magánlevéltári anyag védelméről szóló 199</w:t>
            </w:r>
            <w:r>
              <w:rPr>
                <w:rFonts w:ascii="Times New Roman" w:hAnsi="Times New Roman" w:cs="Times New Roman"/>
              </w:rPr>
              <w:t>5. évi LXVI. törvény 9. §</w:t>
            </w:r>
            <w:proofErr w:type="spellStart"/>
            <w:r>
              <w:rPr>
                <w:rFonts w:ascii="Times New Roman" w:hAnsi="Times New Roman" w:cs="Times New Roman"/>
              </w:rPr>
              <w:t>-ában</w:t>
            </w:r>
            <w:proofErr w:type="spellEnd"/>
            <w:r>
              <w:rPr>
                <w:rFonts w:ascii="Times New Roman" w:hAnsi="Times New Roman" w:cs="Times New Roman"/>
              </w:rPr>
              <w:t xml:space="preserve"> foglaltak alapján </w:t>
            </w:r>
            <w:r w:rsidRPr="00824ED6">
              <w:rPr>
                <w:rFonts w:ascii="Times New Roman" w:hAnsi="Times New Roman" w:cs="Times New Roman"/>
              </w:rPr>
              <w:t>a büntetés-végrehajtási szervezet Egységes Iratkezelési Szabályzatában foglalt megőrzési idő letelte</w:t>
            </w:r>
          </w:p>
        </w:tc>
      </w:tr>
      <w:tr w:rsidR="00F24CF2" w:rsidTr="00A515FE">
        <w:trPr>
          <w:trHeight w:val="454"/>
        </w:trPr>
        <w:tc>
          <w:tcPr>
            <w:tcW w:w="4606" w:type="dxa"/>
          </w:tcPr>
          <w:p w:rsidR="00F24CF2" w:rsidRPr="008F0216" w:rsidRDefault="00F24CF2" w:rsidP="00824ED6">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971721" w:rsidRPr="00971721" w:rsidRDefault="007D5EF6" w:rsidP="00971721">
            <w:pPr>
              <w:jc w:val="both"/>
              <w:rPr>
                <w:rFonts w:ascii="Times New Roman" w:hAnsi="Times New Roman" w:cs="Times New Roman"/>
              </w:rPr>
            </w:pPr>
            <w:r>
              <w:rPr>
                <w:rFonts w:ascii="Times New Roman" w:hAnsi="Times New Roman" w:cs="Times New Roman"/>
              </w:rPr>
              <w:t>Veszprém Várm</w:t>
            </w:r>
            <w:r w:rsidR="00971721" w:rsidRPr="00971721">
              <w:rPr>
                <w:rFonts w:ascii="Times New Roman" w:hAnsi="Times New Roman" w:cs="Times New Roman"/>
              </w:rPr>
              <w:t>egyei Bünteté</w:t>
            </w:r>
            <w:r>
              <w:rPr>
                <w:rFonts w:ascii="Times New Roman" w:hAnsi="Times New Roman" w:cs="Times New Roman"/>
              </w:rPr>
              <w:t>s-végrehajtási Intézet</w:t>
            </w:r>
            <w:r w:rsidR="00971721" w:rsidRPr="00971721">
              <w:rPr>
                <w:rFonts w:ascii="Times New Roman" w:hAnsi="Times New Roman" w:cs="Times New Roman"/>
              </w:rPr>
              <w:t>, 8200 Veszprém Külső-Kádártai u. 12. Tel.: 06-88-591-570.</w:t>
            </w:r>
          </w:p>
          <w:p w:rsidR="00F24CF2" w:rsidRPr="005F6FD4" w:rsidRDefault="00971721" w:rsidP="007D5EF6">
            <w:pPr>
              <w:jc w:val="both"/>
              <w:rPr>
                <w:rFonts w:ascii="Times New Roman" w:hAnsi="Times New Roman" w:cs="Times New Roman"/>
              </w:rPr>
            </w:pPr>
            <w:proofErr w:type="spellStart"/>
            <w:r w:rsidRPr="00971721">
              <w:rPr>
                <w:rFonts w:ascii="Times New Roman" w:hAnsi="Times New Roman" w:cs="Times New Roman"/>
              </w:rPr>
              <w:t>Kőmives</w:t>
            </w:r>
            <w:proofErr w:type="spellEnd"/>
            <w:r w:rsidRPr="00971721">
              <w:rPr>
                <w:rFonts w:ascii="Times New Roman" w:hAnsi="Times New Roman" w:cs="Times New Roman"/>
              </w:rPr>
              <w:t xml:space="preserve"> Vazul </w:t>
            </w:r>
            <w:proofErr w:type="spellStart"/>
            <w:r w:rsidRPr="00971721">
              <w:rPr>
                <w:rFonts w:ascii="Times New Roman" w:hAnsi="Times New Roman" w:cs="Times New Roman"/>
              </w:rPr>
              <w:t>bv</w:t>
            </w:r>
            <w:proofErr w:type="spellEnd"/>
            <w:r w:rsidRPr="00971721">
              <w:rPr>
                <w:rFonts w:ascii="Times New Roman" w:hAnsi="Times New Roman" w:cs="Times New Roman"/>
              </w:rPr>
              <w:t xml:space="preserve">. </w:t>
            </w:r>
            <w:r w:rsidR="007D5EF6">
              <w:rPr>
                <w:rFonts w:ascii="Times New Roman" w:hAnsi="Times New Roman" w:cs="Times New Roman"/>
              </w:rPr>
              <w:t xml:space="preserve">alezredes </w:t>
            </w:r>
            <w:r w:rsidRPr="00971721">
              <w:rPr>
                <w:rFonts w:ascii="Times New Roman" w:hAnsi="Times New Roman" w:cs="Times New Roman"/>
              </w:rPr>
              <w:t>(</w:t>
            </w:r>
            <w:r w:rsidR="001819A8">
              <w:rPr>
                <w:rFonts w:ascii="Times New Roman" w:hAnsi="Times New Roman" w:cs="Times New Roman"/>
              </w:rPr>
              <w:t>06-88-591-570) komives.vazul@bv.</w:t>
            </w:r>
            <w:r w:rsidRPr="00971721">
              <w:rPr>
                <w:rFonts w:ascii="Times New Roman" w:hAnsi="Times New Roman" w:cs="Times New Roman"/>
              </w:rPr>
              <w:t>gov.hu</w:t>
            </w:r>
          </w:p>
        </w:tc>
      </w:tr>
      <w:tr w:rsidR="00F24CF2" w:rsidTr="008F0216">
        <w:trPr>
          <w:trHeight w:val="567"/>
        </w:trPr>
        <w:tc>
          <w:tcPr>
            <w:tcW w:w="4606" w:type="dxa"/>
          </w:tcPr>
          <w:p w:rsidR="00F24CF2" w:rsidRDefault="00F24CF2" w:rsidP="00824ED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F24CF2" w:rsidRPr="008F0216" w:rsidRDefault="00971721"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24CF2" w:rsidTr="008F0216">
        <w:trPr>
          <w:trHeight w:val="567"/>
        </w:trPr>
        <w:tc>
          <w:tcPr>
            <w:tcW w:w="4606" w:type="dxa"/>
          </w:tcPr>
          <w:p w:rsidR="00F24CF2" w:rsidRDefault="00F24CF2" w:rsidP="00824ED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24CF2" w:rsidRPr="008F0216" w:rsidRDefault="00971721" w:rsidP="002743D0">
            <w:pPr>
              <w:jc w:val="both"/>
              <w:rPr>
                <w:rFonts w:ascii="Times New Roman" w:hAnsi="Times New Roman" w:cs="Times New Roman"/>
                <w:sz w:val="20"/>
                <w:szCs w:val="20"/>
              </w:rPr>
            </w:pPr>
            <w:r w:rsidRPr="00971721">
              <w:rPr>
                <w:rFonts w:ascii="Times New Roman" w:hAnsi="Times New Roman"/>
              </w:rPr>
              <w:t xml:space="preserve">A büntetés-végrehajtási szervezet Adatvédelmi és Adatbiztonsági Szabályzatában, Egységes Iratkezelési Szabályzatában, valamint Informatikai Biztonsági Szabályzatában, a Veszprém </w:t>
            </w:r>
            <w:r w:rsidR="002743D0">
              <w:rPr>
                <w:rFonts w:ascii="Times New Roman" w:hAnsi="Times New Roman"/>
              </w:rPr>
              <w:t>Várm</w:t>
            </w:r>
            <w:r w:rsidRPr="00971721">
              <w:rPr>
                <w:rFonts w:ascii="Times New Roman" w:hAnsi="Times New Roman"/>
              </w:rPr>
              <w:t>egyei Büntetés-végrehajtási Intézet Adatvédelmi és Adatbiztonsági Szabályzatában foglalt intézkedések. Kártya h</w:t>
            </w:r>
            <w:r>
              <w:rPr>
                <w:rFonts w:ascii="Times New Roman" w:hAnsi="Times New Roman"/>
              </w:rPr>
              <w:t>asználat, z</w:t>
            </w:r>
            <w:r w:rsidR="00022177">
              <w:rPr>
                <w:rFonts w:ascii="Times New Roman" w:hAnsi="Times New Roman"/>
              </w:rPr>
              <w:t>árt, lepecsételt iroda és szekrény. Kulcsdobozok kiadásának szabályozottsága. Őrszolgálati jellegű tároló helyiség.</w:t>
            </w:r>
          </w:p>
        </w:tc>
      </w:tr>
    </w:tbl>
    <w:p w:rsidR="00902E51" w:rsidRDefault="00902E51" w:rsidP="00F97273">
      <w:pPr>
        <w:tabs>
          <w:tab w:val="left" w:pos="960"/>
        </w:tabs>
        <w:rPr>
          <w:rFonts w:ascii="Times New Roman" w:hAnsi="Times New Roman" w:cs="Times New Roman"/>
          <w:sz w:val="24"/>
          <w:szCs w:val="24"/>
        </w:rPr>
      </w:pPr>
    </w:p>
    <w:p w:rsidR="002743D0" w:rsidRDefault="002743D0" w:rsidP="00F97273">
      <w:pPr>
        <w:tabs>
          <w:tab w:val="left" w:pos="960"/>
        </w:tabs>
        <w:rPr>
          <w:rFonts w:ascii="Times New Roman" w:hAnsi="Times New Roman" w:cs="Times New Roman"/>
          <w:sz w:val="24"/>
          <w:szCs w:val="24"/>
        </w:rPr>
      </w:pPr>
      <w:bookmarkStart w:id="0" w:name="_GoBack"/>
      <w:bookmarkEnd w:id="0"/>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lastRenderedPageBreak/>
        <w:t>Az adatkezelő az érintett személyek személyes adatait eltérő célra nem használja fel.</w:t>
      </w:r>
    </w:p>
    <w:p w:rsidR="00902E51" w:rsidRPr="00902E51" w:rsidRDefault="00902E51" w:rsidP="00902E51">
      <w:pPr>
        <w:spacing w:after="0" w:line="240" w:lineRule="auto"/>
        <w:jc w:val="both"/>
        <w:rPr>
          <w:rFonts w:ascii="Times New Roman" w:eastAsia="Times New Roman" w:hAnsi="Times New Roman" w:cs="Times New Roman"/>
          <w:lang w:eastAsia="hu-HU"/>
        </w:rPr>
      </w:pPr>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adatkezeléssel kapcsolatos jogok és jogorvoslati lehetőségek</w:t>
      </w:r>
    </w:p>
    <w:p w:rsidR="00902E51" w:rsidRPr="00902E51" w:rsidRDefault="00902E51" w:rsidP="00902E51">
      <w:pPr>
        <w:spacing w:after="0" w:line="240" w:lineRule="auto"/>
        <w:jc w:val="both"/>
        <w:rPr>
          <w:rFonts w:ascii="Times New Roman" w:eastAsia="Times New Roman" w:hAnsi="Times New Roman" w:cs="Times New Roman"/>
          <w:lang w:eastAsia="hu-HU"/>
        </w:rPr>
      </w:pPr>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902E51" w:rsidRPr="00902E51" w:rsidRDefault="00902E51" w:rsidP="00902E51">
      <w:pPr>
        <w:numPr>
          <w:ilvl w:val="0"/>
          <w:numId w:val="7"/>
        </w:numPr>
        <w:spacing w:after="0" w:line="240" w:lineRule="auto"/>
        <w:ind w:left="1134"/>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902E51" w:rsidRPr="00902E51" w:rsidRDefault="00902E51" w:rsidP="00902E51">
      <w:pPr>
        <w:numPr>
          <w:ilvl w:val="0"/>
          <w:numId w:val="7"/>
        </w:numPr>
        <w:spacing w:after="0" w:line="240" w:lineRule="auto"/>
        <w:ind w:left="1134"/>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902E51" w:rsidRPr="00902E51" w:rsidRDefault="00902E51" w:rsidP="00902E51">
      <w:pPr>
        <w:numPr>
          <w:ilvl w:val="0"/>
          <w:numId w:val="7"/>
        </w:numPr>
        <w:spacing w:after="0" w:line="240" w:lineRule="auto"/>
        <w:ind w:left="1134"/>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törléshez való jog érvényesülése érdekében kérni a hozzájárulás alapján kezelt adatok törlését,</w:t>
      </w:r>
    </w:p>
    <w:p w:rsidR="00902E51" w:rsidRPr="00902E51" w:rsidRDefault="00902E51" w:rsidP="00902E51">
      <w:pPr>
        <w:numPr>
          <w:ilvl w:val="0"/>
          <w:numId w:val="7"/>
        </w:numPr>
        <w:spacing w:after="0" w:line="240" w:lineRule="auto"/>
        <w:ind w:left="1134"/>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02E51" w:rsidRPr="00902E51" w:rsidRDefault="00902E51" w:rsidP="00902E51">
      <w:pPr>
        <w:numPr>
          <w:ilvl w:val="0"/>
          <w:numId w:val="7"/>
        </w:numPr>
        <w:spacing w:after="0" w:line="240" w:lineRule="auto"/>
        <w:ind w:left="1134"/>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korlátozásához való jog érvényesülése érdekében kérni az adatkezelés korlátozását.</w:t>
      </w:r>
    </w:p>
    <w:p w:rsidR="00902E51" w:rsidRPr="00902E51" w:rsidRDefault="00902E51" w:rsidP="00902E51">
      <w:pPr>
        <w:spacing w:after="0" w:line="240" w:lineRule="auto"/>
        <w:ind w:left="720"/>
        <w:contextualSpacing/>
        <w:jc w:val="both"/>
        <w:rPr>
          <w:rFonts w:ascii="Times New Roman" w:eastAsia="Times New Roman" w:hAnsi="Times New Roman" w:cs="Times New Roman"/>
          <w:lang w:eastAsia="hu-HU"/>
        </w:rPr>
      </w:pPr>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céljáról,</w:t>
      </w:r>
    </w:p>
    <w:p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jogalapjáról,</w:t>
      </w:r>
    </w:p>
    <w:p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időtartamáról,</w:t>
      </w:r>
    </w:p>
    <w:p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kezelt adatok köréről, amelyek másolatát kérelemre az érintett rendelkezésére bocsátja,</w:t>
      </w:r>
    </w:p>
    <w:p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személyes adatok címzettjeiről, illetve a címzettek kategóriáiról,</w:t>
      </w:r>
    </w:p>
    <w:p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harmadik országba vagy nemzetközi szervezet részére történő továbbításról,</w:t>
      </w:r>
    </w:p>
    <w:p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adatok forrásáról, amennyiben azokat nem az érintettől gyűjtötte,</w:t>
      </w:r>
    </w:p>
    <w:p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automatizált döntéshozatal jellemzőiről, ha ilyet alkalmaz az adatkezelő,</w:t>
      </w:r>
    </w:p>
    <w:p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 xml:space="preserve">az adatkezeléssel kapcsolatos </w:t>
      </w:r>
      <w:proofErr w:type="spellStart"/>
      <w:r w:rsidRPr="00902E51">
        <w:rPr>
          <w:rFonts w:ascii="Times New Roman" w:eastAsia="Times New Roman" w:hAnsi="Times New Roman" w:cs="Times New Roman"/>
          <w:lang w:eastAsia="hu-HU"/>
        </w:rPr>
        <w:t>érintetti</w:t>
      </w:r>
      <w:proofErr w:type="spellEnd"/>
      <w:r w:rsidRPr="00902E51">
        <w:rPr>
          <w:rFonts w:ascii="Times New Roman" w:eastAsia="Times New Roman" w:hAnsi="Times New Roman" w:cs="Times New Roman"/>
          <w:lang w:eastAsia="hu-HU"/>
        </w:rPr>
        <w:t xml:space="preserve"> jogairól,</w:t>
      </w:r>
    </w:p>
    <w:p w:rsidR="00902E51" w:rsidRPr="00902E51" w:rsidRDefault="00902E51" w:rsidP="00902E51">
      <w:pPr>
        <w:numPr>
          <w:ilvl w:val="0"/>
          <w:numId w:val="8"/>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jogorvoslati lehetőségeiről.</w:t>
      </w:r>
    </w:p>
    <w:p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902E51" w:rsidRPr="00902E51" w:rsidRDefault="00902E51" w:rsidP="00902E51">
      <w:pPr>
        <w:numPr>
          <w:ilvl w:val="0"/>
          <w:numId w:val="9"/>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személyes adatokra már nincs szükség abból a célból, amiért kezelték,</w:t>
      </w:r>
    </w:p>
    <w:p w:rsidR="00902E51" w:rsidRPr="00902E51" w:rsidRDefault="00902E51" w:rsidP="00902E51">
      <w:pPr>
        <w:numPr>
          <w:ilvl w:val="0"/>
          <w:numId w:val="9"/>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902E51" w:rsidRPr="00902E51" w:rsidRDefault="00902E51" w:rsidP="00902E51">
      <w:pPr>
        <w:numPr>
          <w:ilvl w:val="0"/>
          <w:numId w:val="9"/>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érintett tiltakozik az adatkezelés ellen,</w:t>
      </w:r>
    </w:p>
    <w:p w:rsidR="00902E51" w:rsidRPr="00902E51" w:rsidRDefault="00902E51" w:rsidP="00902E51">
      <w:pPr>
        <w:numPr>
          <w:ilvl w:val="0"/>
          <w:numId w:val="9"/>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személyes adatokat jogellenesen kezelték,</w:t>
      </w:r>
    </w:p>
    <w:p w:rsidR="00902E51" w:rsidRPr="00902E51" w:rsidRDefault="00902E51" w:rsidP="00902E51">
      <w:pPr>
        <w:numPr>
          <w:ilvl w:val="0"/>
          <w:numId w:val="9"/>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személyes adatokat az adatkezelőre alkalmazandó jogszabályban előírt jogi kötelezettség teljesítéséhez törölni kell.</w:t>
      </w:r>
    </w:p>
    <w:p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rsidR="00902E51" w:rsidRPr="00902E51" w:rsidRDefault="00902E51" w:rsidP="00902E51">
      <w:pPr>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korlátozására abban az esetben van lehetőség, amennyiben</w:t>
      </w:r>
    </w:p>
    <w:p w:rsidR="00902E51" w:rsidRPr="00902E51" w:rsidRDefault="00902E51" w:rsidP="00902E51">
      <w:pPr>
        <w:numPr>
          <w:ilvl w:val="0"/>
          <w:numId w:val="10"/>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902E51" w:rsidRPr="00902E51" w:rsidRDefault="00902E51" w:rsidP="00902E51">
      <w:pPr>
        <w:numPr>
          <w:ilvl w:val="0"/>
          <w:numId w:val="10"/>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902E51" w:rsidRPr="00902E51" w:rsidRDefault="00902E51" w:rsidP="00902E51">
      <w:pPr>
        <w:numPr>
          <w:ilvl w:val="0"/>
          <w:numId w:val="10"/>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902E51" w:rsidRPr="00902E51" w:rsidRDefault="00902E51" w:rsidP="00902E51">
      <w:pPr>
        <w:numPr>
          <w:ilvl w:val="0"/>
          <w:numId w:val="10"/>
        </w:numPr>
        <w:spacing w:after="0" w:line="240" w:lineRule="auto"/>
        <w:contextualSpacing/>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902E51" w:rsidRPr="00902E51" w:rsidRDefault="00902E51" w:rsidP="00902E51">
      <w:pPr>
        <w:spacing w:after="0" w:line="240" w:lineRule="auto"/>
        <w:ind w:left="360"/>
        <w:jc w:val="both"/>
        <w:rPr>
          <w:rFonts w:ascii="Times New Roman" w:eastAsia="Times New Roman" w:hAnsi="Times New Roman" w:cs="Times New Roman"/>
          <w:lang w:eastAsia="hu-HU"/>
        </w:rPr>
      </w:pPr>
    </w:p>
    <w:p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p>
    <w:p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p>
    <w:p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r w:rsidRPr="00902E51">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902E51">
          <w:rPr>
            <w:rFonts w:ascii="Times New Roman" w:eastAsia="Times New Roman" w:hAnsi="Times New Roman" w:cs="Times New Roman"/>
            <w:color w:val="0000FF"/>
            <w:u w:val="single"/>
            <w:lang w:eastAsia="hu-HU"/>
          </w:rPr>
          <w:t>ugyfelszolgalat@naih.hu</w:t>
        </w:r>
      </w:hyperlink>
      <w:r w:rsidRPr="00902E51">
        <w:rPr>
          <w:rFonts w:ascii="Times New Roman" w:eastAsia="Times New Roman" w:hAnsi="Times New Roman" w:cs="Times New Roman"/>
          <w:lang w:eastAsia="hu-HU"/>
        </w:rPr>
        <w:t>).</w:t>
      </w:r>
    </w:p>
    <w:p w:rsidR="00902E51" w:rsidRPr="00902E51" w:rsidRDefault="00902E51" w:rsidP="00902E51">
      <w:pPr>
        <w:tabs>
          <w:tab w:val="left" w:pos="960"/>
        </w:tabs>
        <w:spacing w:after="0" w:line="240" w:lineRule="auto"/>
        <w:jc w:val="both"/>
        <w:rPr>
          <w:rFonts w:ascii="Times New Roman" w:eastAsia="Times New Roman" w:hAnsi="Times New Roman" w:cs="Times New Roman"/>
          <w:lang w:eastAsia="hu-HU"/>
        </w:rPr>
      </w:pPr>
    </w:p>
    <w:p w:rsidR="00902E51" w:rsidRPr="00902E51" w:rsidRDefault="00902E51" w:rsidP="00902E51">
      <w:pPr>
        <w:tabs>
          <w:tab w:val="left" w:pos="960"/>
        </w:tabs>
        <w:spacing w:after="0" w:line="240" w:lineRule="auto"/>
        <w:jc w:val="both"/>
        <w:rPr>
          <w:rFonts w:ascii="Times New Roman" w:eastAsia="Calibri" w:hAnsi="Times New Roman" w:cs="Times New Roman"/>
        </w:rPr>
      </w:pPr>
      <w:r w:rsidRPr="00902E51">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902E51" w:rsidRPr="00F97273" w:rsidRDefault="00902E51" w:rsidP="00F97273">
      <w:pPr>
        <w:tabs>
          <w:tab w:val="left" w:pos="960"/>
        </w:tabs>
        <w:rPr>
          <w:rFonts w:ascii="Times New Roman" w:hAnsi="Times New Roman" w:cs="Times New Roman"/>
          <w:sz w:val="24"/>
          <w:szCs w:val="24"/>
        </w:rPr>
      </w:pPr>
    </w:p>
    <w:sectPr w:rsidR="00902E51"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70" w:rsidRDefault="00CA1B70" w:rsidP="008F1075">
      <w:pPr>
        <w:spacing w:after="0" w:line="240" w:lineRule="auto"/>
      </w:pPr>
      <w:r>
        <w:separator/>
      </w:r>
    </w:p>
  </w:endnote>
  <w:endnote w:type="continuationSeparator" w:id="0">
    <w:p w:rsidR="00CA1B70" w:rsidRDefault="00CA1B70"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70" w:rsidRDefault="00CA1B70" w:rsidP="008F1075">
      <w:pPr>
        <w:spacing w:after="0" w:line="240" w:lineRule="auto"/>
      </w:pPr>
      <w:r>
        <w:separator/>
      </w:r>
    </w:p>
  </w:footnote>
  <w:footnote w:type="continuationSeparator" w:id="0">
    <w:p w:rsidR="00CA1B70" w:rsidRDefault="00CA1B70"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B70" w:rsidRDefault="00CA1B70" w:rsidP="008F1075">
    <w:pPr>
      <w:pStyle w:val="lfej"/>
      <w:jc w:val="center"/>
      <w:rPr>
        <w:rFonts w:ascii="Times New Roman" w:hAnsi="Times New Roman" w:cs="Times New Roman"/>
        <w:sz w:val="24"/>
      </w:rPr>
    </w:pPr>
  </w:p>
  <w:p w:rsidR="00CA1B70" w:rsidRDefault="00CA1B70"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CA1B70" w:rsidRPr="008926E3" w:rsidRDefault="008926E3" w:rsidP="008926E3">
    <w:pPr>
      <w:pStyle w:val="lfej"/>
      <w:jc w:val="center"/>
      <w:rPr>
        <w:rFonts w:ascii="Times New Roman" w:hAnsi="Times New Roman" w:cs="Times New Roman"/>
        <w:sz w:val="28"/>
      </w:rPr>
    </w:pPr>
    <w:r w:rsidRPr="008926E3">
      <w:rPr>
        <w:rFonts w:ascii="Times New Roman" w:hAnsi="Times New Roman" w:cs="Times New Roman"/>
        <w:sz w:val="28"/>
      </w:rPr>
      <w:t>I. AGGLOMERÁCIÓ</w:t>
    </w:r>
  </w:p>
  <w:p w:rsidR="00CA1B70" w:rsidRPr="00DF4A1D" w:rsidRDefault="00CA1B70"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Veszpr</w:t>
    </w:r>
    <w:r w:rsidR="008926E3">
      <w:rPr>
        <w:rFonts w:ascii="Times New Roman" w:hAnsi="Times New Roman" w:cs="Times New Roman"/>
        <w:sz w:val="28"/>
        <w:szCs w:val="28"/>
      </w:rPr>
      <w:t>ém 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65EE1925"/>
    <w:multiLevelType w:val="hybridMultilevel"/>
    <w:tmpl w:val="0CF2190E"/>
    <w:lvl w:ilvl="0" w:tplc="CB4005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177"/>
    <w:rsid w:val="00022CEF"/>
    <w:rsid w:val="00035E58"/>
    <w:rsid w:val="0006427A"/>
    <w:rsid w:val="00072087"/>
    <w:rsid w:val="000729EF"/>
    <w:rsid w:val="000B6148"/>
    <w:rsid w:val="000D0C05"/>
    <w:rsid w:val="000E4251"/>
    <w:rsid w:val="000E6E92"/>
    <w:rsid w:val="000F7DC5"/>
    <w:rsid w:val="00101D83"/>
    <w:rsid w:val="00104E20"/>
    <w:rsid w:val="00136E4F"/>
    <w:rsid w:val="001605E2"/>
    <w:rsid w:val="00177728"/>
    <w:rsid w:val="001819A8"/>
    <w:rsid w:val="00187EEB"/>
    <w:rsid w:val="00196445"/>
    <w:rsid w:val="001B7B78"/>
    <w:rsid w:val="001D17D2"/>
    <w:rsid w:val="001E3240"/>
    <w:rsid w:val="00236BAB"/>
    <w:rsid w:val="00254F85"/>
    <w:rsid w:val="00262B9C"/>
    <w:rsid w:val="00270603"/>
    <w:rsid w:val="002743D0"/>
    <w:rsid w:val="002E12BE"/>
    <w:rsid w:val="002E3A07"/>
    <w:rsid w:val="002E5D07"/>
    <w:rsid w:val="002F3D91"/>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3417A"/>
    <w:rsid w:val="0053688B"/>
    <w:rsid w:val="0057409A"/>
    <w:rsid w:val="005A09AB"/>
    <w:rsid w:val="005C1D6F"/>
    <w:rsid w:val="005C2340"/>
    <w:rsid w:val="005C2D59"/>
    <w:rsid w:val="005E13FE"/>
    <w:rsid w:val="005E785C"/>
    <w:rsid w:val="005F551B"/>
    <w:rsid w:val="005F6FD4"/>
    <w:rsid w:val="00605150"/>
    <w:rsid w:val="0061631D"/>
    <w:rsid w:val="00640E09"/>
    <w:rsid w:val="00642641"/>
    <w:rsid w:val="00645329"/>
    <w:rsid w:val="00663747"/>
    <w:rsid w:val="006A11F0"/>
    <w:rsid w:val="006A1C94"/>
    <w:rsid w:val="006A20EA"/>
    <w:rsid w:val="006A220A"/>
    <w:rsid w:val="006B598A"/>
    <w:rsid w:val="006C3EF7"/>
    <w:rsid w:val="006F0B6B"/>
    <w:rsid w:val="006F4A7A"/>
    <w:rsid w:val="00707308"/>
    <w:rsid w:val="00710BB4"/>
    <w:rsid w:val="0071238A"/>
    <w:rsid w:val="007141FD"/>
    <w:rsid w:val="007156D3"/>
    <w:rsid w:val="007162B9"/>
    <w:rsid w:val="0075492F"/>
    <w:rsid w:val="00770F17"/>
    <w:rsid w:val="00787FC1"/>
    <w:rsid w:val="007D5EF6"/>
    <w:rsid w:val="008127D0"/>
    <w:rsid w:val="00817D95"/>
    <w:rsid w:val="00824ED6"/>
    <w:rsid w:val="0086461C"/>
    <w:rsid w:val="00886EC1"/>
    <w:rsid w:val="008926E3"/>
    <w:rsid w:val="008A5F0B"/>
    <w:rsid w:val="008A6FD0"/>
    <w:rsid w:val="008C4877"/>
    <w:rsid w:val="008F0216"/>
    <w:rsid w:val="008F1075"/>
    <w:rsid w:val="008F254B"/>
    <w:rsid w:val="00902E51"/>
    <w:rsid w:val="00926F5E"/>
    <w:rsid w:val="00951A78"/>
    <w:rsid w:val="00951D7B"/>
    <w:rsid w:val="00971103"/>
    <w:rsid w:val="00971721"/>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1B70"/>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D563F"/>
    <w:rsid w:val="00EF646E"/>
    <w:rsid w:val="00F24CF2"/>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3631">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68D4-66FF-4D9B-88EB-1EBE72CE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1086</Words>
  <Characters>7495</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17</cp:revision>
  <cp:lastPrinted>2019-06-12T07:57:00Z</cp:lastPrinted>
  <dcterms:created xsi:type="dcterms:W3CDTF">2019-05-28T07:19:00Z</dcterms:created>
  <dcterms:modified xsi:type="dcterms:W3CDTF">2025-07-16T11:32:00Z</dcterms:modified>
</cp:coreProperties>
</file>