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CB6BEA" w:rsidP="008F0216">
            <w:pPr>
              <w:jc w:val="both"/>
              <w:rPr>
                <w:rFonts w:ascii="Times New Roman" w:hAnsi="Times New Roman" w:cs="Times New Roman"/>
                <w:sz w:val="20"/>
                <w:szCs w:val="20"/>
              </w:rPr>
            </w:pPr>
            <w:r>
              <w:rPr>
                <w:rFonts w:ascii="Times New Roman" w:hAnsi="Times New Roman" w:cs="Times New Roman"/>
                <w:sz w:val="20"/>
                <w:szCs w:val="20"/>
              </w:rPr>
              <w:t>A</w:t>
            </w:r>
            <w:r w:rsidRPr="00CB6BEA">
              <w:rPr>
                <w:rFonts w:ascii="Times New Roman" w:hAnsi="Times New Roman" w:cs="Times New Roman"/>
                <w:sz w:val="20"/>
                <w:szCs w:val="20"/>
              </w:rPr>
              <w:t>z egyenruházati, a munka- és védőruházat</w:t>
            </w:r>
            <w:r>
              <w:rPr>
                <w:rFonts w:ascii="Times New Roman" w:hAnsi="Times New Roman" w:cs="Times New Roman"/>
                <w:sz w:val="20"/>
                <w:szCs w:val="20"/>
              </w:rPr>
              <w:t>i alapellátási normák kiadása</w:t>
            </w:r>
            <w:r w:rsidR="00516CC6">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A </w:t>
            </w:r>
            <w:r w:rsidRPr="00516CC6">
              <w:rPr>
                <w:rFonts w:ascii="Times New Roman" w:hAnsi="Times New Roman" w:cs="Times New Roman"/>
                <w:sz w:val="20"/>
                <w:szCs w:val="20"/>
              </w:rPr>
              <w:t>hivatásos állományának r</w:t>
            </w:r>
            <w:r>
              <w:rPr>
                <w:rFonts w:ascii="Times New Roman" w:hAnsi="Times New Roman" w:cs="Times New Roman"/>
                <w:sz w:val="20"/>
                <w:szCs w:val="20"/>
              </w:rPr>
              <w:t>uházati ellátásának biz</w:t>
            </w:r>
            <w:r w:rsidRPr="00516CC6">
              <w:rPr>
                <w:rFonts w:ascii="Times New Roman" w:hAnsi="Times New Roman" w:cs="Times New Roman"/>
                <w:sz w:val="20"/>
                <w:szCs w:val="20"/>
              </w:rPr>
              <w:t>tosítása</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2015. évi XLII. törvény 175. § (7) bekezdés; 14/2016. (V. 10.) BM </w:t>
            </w:r>
            <w:r w:rsidRPr="00516CC6">
              <w:rPr>
                <w:rFonts w:ascii="Times New Roman" w:hAnsi="Times New Roman" w:cs="Times New Roman"/>
                <w:sz w:val="20"/>
                <w:szCs w:val="20"/>
              </w:rPr>
              <w:t>rendelet 24. §</w:t>
            </w:r>
          </w:p>
        </w:tc>
      </w:tr>
      <w:tr w:rsidR="008F0216" w:rsidTr="00A515FE">
        <w:trPr>
          <w:trHeight w:val="454"/>
        </w:trPr>
        <w:tc>
          <w:tcPr>
            <w:tcW w:w="4606" w:type="dxa"/>
          </w:tcPr>
          <w:p w:rsidR="008F0216" w:rsidRPr="008F0216" w:rsidRDefault="00C319A3" w:rsidP="001733E8">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516CC6" w:rsidP="00516CC6">
            <w:pPr>
              <w:jc w:val="both"/>
              <w:rPr>
                <w:rFonts w:ascii="Times New Roman" w:hAnsi="Times New Roman" w:cs="Times New Roman"/>
                <w:sz w:val="20"/>
                <w:szCs w:val="20"/>
              </w:rPr>
            </w:pPr>
            <w:r w:rsidRPr="00516CC6">
              <w:rPr>
                <w:rFonts w:ascii="Times New Roman" w:hAnsi="Times New Roman" w:cs="Times New Roman"/>
                <w:sz w:val="20"/>
                <w:szCs w:val="20"/>
              </w:rPr>
              <w:t>Né</w:t>
            </w:r>
            <w:r w:rsidR="00783430">
              <w:rPr>
                <w:rFonts w:ascii="Times New Roman" w:hAnsi="Times New Roman" w:cs="Times New Roman"/>
                <w:sz w:val="20"/>
                <w:szCs w:val="20"/>
              </w:rPr>
              <w:t xml:space="preserve">v, rendfokozat, </w:t>
            </w:r>
            <w:r>
              <w:rPr>
                <w:rFonts w:ascii="Times New Roman" w:hAnsi="Times New Roman" w:cs="Times New Roman"/>
                <w:sz w:val="20"/>
                <w:szCs w:val="20"/>
              </w:rPr>
              <w:t xml:space="preserve">adóazonosító jel, parancs száma, </w:t>
            </w:r>
            <w:r w:rsidRPr="00516CC6">
              <w:rPr>
                <w:rFonts w:ascii="Times New Roman" w:hAnsi="Times New Roman" w:cs="Times New Roman"/>
                <w:sz w:val="20"/>
                <w:szCs w:val="20"/>
              </w:rPr>
              <w:t>szolgálati hely, elérhetőség</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Egyenruha-ellátásra jogosult személyi állományi </w:t>
            </w:r>
            <w:r w:rsidRPr="00516CC6">
              <w:rPr>
                <w:rFonts w:ascii="Times New Roman" w:hAnsi="Times New Roman" w:cs="Times New Roman"/>
                <w:sz w:val="20"/>
                <w:szCs w:val="20"/>
              </w:rPr>
              <w:t>tagok</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Parancs</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Név, rendfokozat, adóazonosító jel, </w:t>
            </w:r>
            <w:r w:rsidRPr="00516CC6">
              <w:rPr>
                <w:rFonts w:ascii="Times New Roman" w:hAnsi="Times New Roman" w:cs="Times New Roman"/>
                <w:sz w:val="20"/>
                <w:szCs w:val="20"/>
              </w:rPr>
              <w:t>p</w:t>
            </w:r>
            <w:r>
              <w:rPr>
                <w:rFonts w:ascii="Times New Roman" w:hAnsi="Times New Roman" w:cs="Times New Roman"/>
                <w:sz w:val="20"/>
                <w:szCs w:val="20"/>
              </w:rPr>
              <w:t>arancs</w:t>
            </w:r>
            <w:r w:rsidR="00941AAC">
              <w:rPr>
                <w:rFonts w:ascii="Times New Roman" w:hAnsi="Times New Roman" w:cs="Times New Roman"/>
                <w:sz w:val="20"/>
                <w:szCs w:val="20"/>
              </w:rPr>
              <w:t xml:space="preserve"> száma, </w:t>
            </w:r>
            <w:r w:rsidRPr="00516CC6">
              <w:rPr>
                <w:rFonts w:ascii="Times New Roman" w:hAnsi="Times New Roman" w:cs="Times New Roman"/>
                <w:sz w:val="20"/>
                <w:szCs w:val="20"/>
              </w:rPr>
              <w:t>szolgálati hely, elérhetőség</w:t>
            </w:r>
          </w:p>
        </w:tc>
      </w:tr>
      <w:tr w:rsidR="008F0216" w:rsidTr="00A515FE">
        <w:trPr>
          <w:trHeight w:val="454"/>
        </w:trPr>
        <w:tc>
          <w:tcPr>
            <w:tcW w:w="4606" w:type="dxa"/>
          </w:tcPr>
          <w:p w:rsidR="008F0216" w:rsidRPr="008F0216" w:rsidRDefault="00981C22" w:rsidP="001733E8">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516CC6" w:rsidP="00516CC6">
            <w:pPr>
              <w:jc w:val="both"/>
              <w:rPr>
                <w:rFonts w:ascii="Times New Roman" w:hAnsi="Times New Roman" w:cs="Times New Roman"/>
                <w:sz w:val="20"/>
                <w:szCs w:val="20"/>
              </w:rPr>
            </w:pPr>
            <w:r>
              <w:rPr>
                <w:rFonts w:ascii="Times New Roman" w:hAnsi="Times New Roman" w:cs="Times New Roman"/>
                <w:sz w:val="20"/>
                <w:szCs w:val="20"/>
              </w:rPr>
              <w:t xml:space="preserve">A 44/2011. (III. 23.) </w:t>
            </w:r>
            <w:r w:rsidRPr="00516CC6">
              <w:rPr>
                <w:rFonts w:ascii="Times New Roman" w:hAnsi="Times New Roman" w:cs="Times New Roman"/>
                <w:sz w:val="20"/>
                <w:szCs w:val="20"/>
              </w:rPr>
              <w:t>Ko</w:t>
            </w:r>
            <w:r>
              <w:rPr>
                <w:rFonts w:ascii="Times New Roman" w:hAnsi="Times New Roman" w:cs="Times New Roman"/>
                <w:sz w:val="20"/>
                <w:szCs w:val="20"/>
              </w:rPr>
              <w:t xml:space="preserve">rm. rendelet és a 14/2016. </w:t>
            </w:r>
            <w:r w:rsidRPr="00516CC6">
              <w:rPr>
                <w:rFonts w:ascii="Times New Roman" w:hAnsi="Times New Roman" w:cs="Times New Roman"/>
                <w:sz w:val="20"/>
                <w:szCs w:val="20"/>
              </w:rPr>
              <w:t>(V.10.) BM rendelet alap</w:t>
            </w:r>
            <w:r>
              <w:rPr>
                <w:rFonts w:ascii="Times New Roman" w:hAnsi="Times New Roman" w:cs="Times New Roman"/>
                <w:sz w:val="20"/>
                <w:szCs w:val="20"/>
              </w:rPr>
              <w:t xml:space="preserve">ján a termékeket biztosító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Pr="00516CC6">
              <w:rPr>
                <w:rFonts w:ascii="Times New Roman" w:hAnsi="Times New Roman" w:cs="Times New Roman"/>
                <w:sz w:val="20"/>
                <w:szCs w:val="20"/>
              </w:rPr>
              <w:t>gazdasági társasá</w:t>
            </w:r>
            <w:r>
              <w:rPr>
                <w:rFonts w:ascii="Times New Roman" w:hAnsi="Times New Roman" w:cs="Times New Roman"/>
                <w:sz w:val="20"/>
                <w:szCs w:val="20"/>
              </w:rPr>
              <w:t>g</w:t>
            </w:r>
            <w:r w:rsidR="00CB6BEA">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A245DE" w:rsidP="00A245DE">
            <w:pPr>
              <w:jc w:val="both"/>
              <w:rPr>
                <w:rFonts w:ascii="Times New Roman" w:hAnsi="Times New Roman" w:cs="Times New Roman"/>
                <w:sz w:val="20"/>
                <w:szCs w:val="20"/>
              </w:rPr>
            </w:pPr>
            <w:r w:rsidRPr="00A245DE">
              <w:rPr>
                <w:rFonts w:ascii="Times New Roman" w:hAnsi="Times New Roman" w:cs="Times New Roman"/>
                <w:sz w:val="20"/>
                <w:szCs w:val="20"/>
              </w:rPr>
              <w:t>2015. évi XLII</w:t>
            </w:r>
            <w:r>
              <w:rPr>
                <w:rFonts w:ascii="Times New Roman" w:hAnsi="Times New Roman" w:cs="Times New Roman"/>
                <w:sz w:val="20"/>
                <w:szCs w:val="20"/>
              </w:rPr>
              <w:t>. törvény 175. § (7) bekezdés, 44/2011. (III. 23.) Korm.</w:t>
            </w:r>
            <w:r w:rsidRPr="00A245DE">
              <w:rPr>
                <w:rFonts w:ascii="Times New Roman" w:hAnsi="Times New Roman" w:cs="Times New Roman"/>
                <w:sz w:val="20"/>
                <w:szCs w:val="20"/>
              </w:rPr>
              <w:t xml:space="preserve"> ren</w:t>
            </w:r>
            <w:r>
              <w:rPr>
                <w:rFonts w:ascii="Times New Roman" w:hAnsi="Times New Roman" w:cs="Times New Roman"/>
                <w:sz w:val="20"/>
                <w:szCs w:val="20"/>
              </w:rPr>
              <w:t xml:space="preserve">delet 2. § és 12. § (1) bekezdés és a 14/2016. (V.10.) BM rendelet 8.§ (4) </w:t>
            </w:r>
            <w:r w:rsidRPr="00A245DE">
              <w:rPr>
                <w:rFonts w:ascii="Times New Roman" w:hAnsi="Times New Roman" w:cs="Times New Roman"/>
                <w:sz w:val="20"/>
                <w:szCs w:val="20"/>
              </w:rPr>
              <w:t>bekezdés</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F2729E" w:rsidP="00F2729E">
            <w:pPr>
              <w:jc w:val="both"/>
              <w:rPr>
                <w:rFonts w:ascii="Times New Roman" w:hAnsi="Times New Roman" w:cs="Times New Roman"/>
                <w:sz w:val="20"/>
                <w:szCs w:val="20"/>
              </w:rPr>
            </w:pPr>
            <w:r>
              <w:rPr>
                <w:rFonts w:ascii="Times New Roman" w:hAnsi="Times New Roman" w:cs="Times New Roman"/>
                <w:sz w:val="20"/>
                <w:szCs w:val="20"/>
              </w:rPr>
              <w:t xml:space="preserve">A </w:t>
            </w:r>
            <w:r w:rsidRPr="00F2729E">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F2729E">
              <w:rPr>
                <w:rFonts w:ascii="Times New Roman" w:hAnsi="Times New Roman" w:cs="Times New Roman"/>
                <w:sz w:val="20"/>
                <w:szCs w:val="20"/>
              </w:rPr>
              <w:t>anyag védelméről szóló 199</w:t>
            </w:r>
            <w:r>
              <w:rPr>
                <w:rFonts w:ascii="Times New Roman" w:hAnsi="Times New Roman" w:cs="Times New Roman"/>
                <w:sz w:val="20"/>
                <w:szCs w:val="20"/>
              </w:rPr>
              <w:t>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w:t>
            </w:r>
            <w:r w:rsidRPr="00F2729E">
              <w:rPr>
                <w:rFonts w:ascii="Times New Roman" w:hAnsi="Times New Roman" w:cs="Times New Roman"/>
                <w:sz w:val="20"/>
                <w:szCs w:val="20"/>
              </w:rPr>
              <w:t>fo</w:t>
            </w:r>
            <w:r w:rsidR="00B54029">
              <w:rPr>
                <w:rFonts w:ascii="Times New Roman" w:hAnsi="Times New Roman" w:cs="Times New Roman"/>
                <w:sz w:val="20"/>
                <w:szCs w:val="20"/>
              </w:rPr>
              <w:t xml:space="preserve">glaltak </w:t>
            </w:r>
            <w:r>
              <w:rPr>
                <w:rFonts w:ascii="Times New Roman" w:hAnsi="Times New Roman" w:cs="Times New Roman"/>
                <w:sz w:val="20"/>
                <w:szCs w:val="20"/>
              </w:rPr>
              <w:t xml:space="preserve">alapján, valamint a </w:t>
            </w:r>
            <w:r w:rsidRPr="00F2729E">
              <w:rPr>
                <w:rFonts w:ascii="Times New Roman" w:hAnsi="Times New Roman" w:cs="Times New Roman"/>
                <w:sz w:val="20"/>
                <w:szCs w:val="20"/>
              </w:rPr>
              <w:t>44/2011.</w:t>
            </w:r>
            <w:r>
              <w:rPr>
                <w:rFonts w:ascii="Times New Roman" w:hAnsi="Times New Roman" w:cs="Times New Roman"/>
                <w:sz w:val="20"/>
                <w:szCs w:val="20"/>
              </w:rPr>
              <w:t xml:space="preserve"> (III. 23.) Korm. rendelet 12. § (1) bekezdésében rögzítettekre tekintettel a </w:t>
            </w:r>
            <w:r w:rsidRPr="00F2729E">
              <w:rPr>
                <w:rFonts w:ascii="Times New Roman" w:hAnsi="Times New Roman" w:cs="Times New Roman"/>
                <w:sz w:val="20"/>
                <w:szCs w:val="20"/>
              </w:rPr>
              <w:t>bü</w:t>
            </w:r>
            <w:r>
              <w:rPr>
                <w:rFonts w:ascii="Times New Roman" w:hAnsi="Times New Roman" w:cs="Times New Roman"/>
                <w:sz w:val="20"/>
                <w:szCs w:val="20"/>
              </w:rPr>
              <w:t xml:space="preserve">ntetés-végrehajtási szervezet Egységes Iratkezelési Szabályzatában foglalt megőrzési idő </w:t>
            </w:r>
            <w:r w:rsidRPr="00F2729E">
              <w:rPr>
                <w:rFonts w:ascii="Times New Roman" w:hAnsi="Times New Roman" w:cs="Times New Roman"/>
                <w:sz w:val="20"/>
                <w:szCs w:val="20"/>
              </w:rPr>
              <w:t>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733E8">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F2729E" w:rsidRDefault="00F2729E" w:rsidP="00F2729E">
            <w:pPr>
              <w:jc w:val="both"/>
              <w:rPr>
                <w:rFonts w:ascii="Times New Roman" w:hAnsi="Times New Roman" w:cs="Times New Roman"/>
                <w:sz w:val="20"/>
                <w:szCs w:val="20"/>
              </w:rPr>
            </w:pPr>
            <w:r>
              <w:rPr>
                <w:rFonts w:ascii="Times New Roman" w:hAnsi="Times New Roman" w:cs="Times New Roman"/>
                <w:sz w:val="20"/>
                <w:szCs w:val="20"/>
              </w:rPr>
              <w:t xml:space="preserve">Veszprém </w:t>
            </w:r>
            <w:r w:rsidR="00783430">
              <w:rPr>
                <w:rFonts w:ascii="Times New Roman" w:hAnsi="Times New Roman" w:cs="Times New Roman"/>
                <w:sz w:val="20"/>
                <w:szCs w:val="20"/>
              </w:rPr>
              <w:t>Várm</w:t>
            </w:r>
            <w:r>
              <w:rPr>
                <w:rFonts w:ascii="Times New Roman" w:hAnsi="Times New Roman" w:cs="Times New Roman"/>
                <w:sz w:val="20"/>
                <w:szCs w:val="20"/>
              </w:rPr>
              <w:t>egyei Büntetés-végreh</w:t>
            </w:r>
            <w:r w:rsidR="00783430">
              <w:rPr>
                <w:rFonts w:ascii="Times New Roman" w:hAnsi="Times New Roman" w:cs="Times New Roman"/>
                <w:sz w:val="20"/>
                <w:szCs w:val="20"/>
              </w:rPr>
              <w:t>ajtási Intézet</w:t>
            </w:r>
            <w:r>
              <w:rPr>
                <w:rFonts w:ascii="Times New Roman" w:hAnsi="Times New Roman" w:cs="Times New Roman"/>
                <w:sz w:val="20"/>
                <w:szCs w:val="20"/>
              </w:rPr>
              <w:t>, 8200 Veszprém Külső-Kádártai u. 12. Tel.: 06-88-591-570.</w:t>
            </w:r>
          </w:p>
          <w:p w:rsidR="00981C22" w:rsidRPr="008F0216" w:rsidRDefault="00F2729E" w:rsidP="00783430">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783430">
              <w:rPr>
                <w:rFonts w:ascii="Times New Roman" w:hAnsi="Times New Roman" w:cs="Times New Roman"/>
                <w:sz w:val="20"/>
                <w:szCs w:val="20"/>
              </w:rPr>
              <w:t>alezredes</w:t>
            </w:r>
            <w:r>
              <w:rPr>
                <w:rFonts w:ascii="Times New Roman" w:hAnsi="Times New Roman" w:cs="Times New Roman"/>
                <w:sz w:val="20"/>
                <w:szCs w:val="20"/>
              </w:rPr>
              <w:t xml:space="preserve"> (</w:t>
            </w:r>
            <w:r w:rsidR="00AA3E73">
              <w:rPr>
                <w:rFonts w:ascii="Times New Roman" w:hAnsi="Times New Roman" w:cs="Times New Roman"/>
                <w:sz w:val="20"/>
                <w:szCs w:val="20"/>
              </w:rPr>
              <w:t>06-88-591-570) komives.vazul@bv.</w:t>
            </w:r>
            <w:r>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1733E8">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017BA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1733E8">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F2729E" w:rsidP="008F021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783430">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w:t>
            </w:r>
            <w:bookmarkStart w:id="0" w:name="_GoBack"/>
            <w:bookmarkEnd w:id="0"/>
            <w:r>
              <w:rPr>
                <w:rFonts w:ascii="Times New Roman" w:hAnsi="Times New Roman" w:cs="Times New Roman"/>
                <w:sz w:val="20"/>
                <w:szCs w:val="20"/>
              </w:rPr>
              <w:t xml:space="preserve"> Adatbiztonsági Szabályzatában foglalt intézkedések. </w:t>
            </w:r>
            <w:r w:rsidR="00017BA3">
              <w:rPr>
                <w:rFonts w:ascii="Times New Roman" w:hAnsi="Times New Roman" w:cs="Times New Roman"/>
                <w:sz w:val="20"/>
                <w:szCs w:val="20"/>
              </w:rPr>
              <w:t>Az érintett személy saját méretfelvétele, egyéni feltöltés</w:t>
            </w:r>
            <w:r w:rsidR="00000A4D">
              <w:rPr>
                <w:rFonts w:ascii="Times New Roman" w:hAnsi="Times New Roman" w:cs="Times New Roman"/>
                <w:sz w:val="20"/>
                <w:szCs w:val="20"/>
              </w:rPr>
              <w:t>. Informatikai jogosultság.</w:t>
            </w:r>
          </w:p>
        </w:tc>
      </w:tr>
    </w:tbl>
    <w:p w:rsidR="006F4A7A" w:rsidRDefault="006F4A7A"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Default="00A30C60" w:rsidP="00F97273">
      <w:pPr>
        <w:tabs>
          <w:tab w:val="left" w:pos="960"/>
        </w:tabs>
        <w:rPr>
          <w:rFonts w:ascii="Times New Roman" w:hAnsi="Times New Roman" w:cs="Times New Roman"/>
          <w:sz w:val="24"/>
          <w:szCs w:val="24"/>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lastRenderedPageBreak/>
        <w:t>Az adatkezelő az érintett személyek személyes adatait eltérő célra nem használja fel.</w:t>
      </w:r>
    </w:p>
    <w:p w:rsidR="00A30C60" w:rsidRPr="00A30C60" w:rsidRDefault="00A30C60" w:rsidP="00A30C60">
      <w:pPr>
        <w:spacing w:after="0" w:line="240" w:lineRule="auto"/>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adatkezeléssel kapcsolatos jogok és jogorvoslati lehetőségek</w:t>
      </w:r>
    </w:p>
    <w:p w:rsidR="00A30C60" w:rsidRPr="00A30C60" w:rsidRDefault="00A30C60" w:rsidP="00A30C60">
      <w:pPr>
        <w:spacing w:after="0" w:line="240" w:lineRule="auto"/>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törléshez való jog érvényesülése érdekében kérni a hozzájárulás alapján kezelt adatok törlését,</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30C60" w:rsidRPr="00A30C60" w:rsidRDefault="00A30C60" w:rsidP="00A30C60">
      <w:pPr>
        <w:numPr>
          <w:ilvl w:val="0"/>
          <w:numId w:val="7"/>
        </w:numPr>
        <w:spacing w:after="0" w:line="240" w:lineRule="auto"/>
        <w:ind w:left="1134"/>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korlátozásához való jog érvényesülése érdekében kérni az adatkezelés korlátozását.</w:t>
      </w:r>
    </w:p>
    <w:p w:rsidR="00A30C60" w:rsidRPr="00A30C60" w:rsidRDefault="00A30C60" w:rsidP="00A30C60">
      <w:pPr>
        <w:spacing w:after="0" w:line="240" w:lineRule="auto"/>
        <w:ind w:left="720"/>
        <w:contextualSpacing/>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céljáról,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jogalapjáról,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időtartamáról,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kezelt adatok köréről, amelyek másolatát kérelemre az érintett rendelkezésére bocsátja,</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 címzettjeiről, illetve a címzettek kategóriáiról,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harmadik országba vagy nemzetközi szervezet részére történő továbbításról,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adatok forrásáról, amennyiben azokat nem az érintettől gyűjtötte,</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automatizált döntéshozatal jellemzőiről, ha ilyet alkalmaz az adatkezelő,</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 xml:space="preserve">az adatkezeléssel kapcsolatos </w:t>
      </w:r>
      <w:proofErr w:type="spellStart"/>
      <w:r w:rsidRPr="00A30C60">
        <w:rPr>
          <w:rFonts w:ascii="Times New Roman" w:eastAsia="Times New Roman" w:hAnsi="Times New Roman" w:cs="Times New Roman"/>
          <w:lang w:eastAsia="hu-HU"/>
        </w:rPr>
        <w:t>érintetti</w:t>
      </w:r>
      <w:proofErr w:type="spellEnd"/>
      <w:r w:rsidRPr="00A30C60">
        <w:rPr>
          <w:rFonts w:ascii="Times New Roman" w:eastAsia="Times New Roman" w:hAnsi="Times New Roman" w:cs="Times New Roman"/>
          <w:lang w:eastAsia="hu-HU"/>
        </w:rPr>
        <w:t xml:space="preserve"> jogairól,</w:t>
      </w:r>
    </w:p>
    <w:p w:rsidR="00A30C60" w:rsidRPr="00A30C60" w:rsidRDefault="00A30C60" w:rsidP="00A30C60">
      <w:pPr>
        <w:numPr>
          <w:ilvl w:val="0"/>
          <w:numId w:val="8"/>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jogorvoslati lehetőségeiről.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adatokra már nincs szükség abból a célból, amiért kezelték,</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tiltakozik az adatkezelés ellen,</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adatokat jogellenesen kezelték,</w:t>
      </w:r>
    </w:p>
    <w:p w:rsidR="00A30C60" w:rsidRPr="00A30C60" w:rsidRDefault="00A30C60" w:rsidP="00A30C60">
      <w:pPr>
        <w:numPr>
          <w:ilvl w:val="0"/>
          <w:numId w:val="9"/>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személyes adatokat az adatkezelőre alkalmazandó jogszabályban előírt jogi kötelezettség teljesítéséhez törölni kell.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korlátozására abban az esetben van lehetőség, amennyiben</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A30C60" w:rsidRPr="00A30C60" w:rsidRDefault="00A30C60" w:rsidP="00A30C60">
      <w:pPr>
        <w:numPr>
          <w:ilvl w:val="0"/>
          <w:numId w:val="10"/>
        </w:numPr>
        <w:spacing w:after="0" w:line="240" w:lineRule="auto"/>
        <w:contextualSpacing/>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A30C60" w:rsidRPr="00A30C60" w:rsidRDefault="00A30C60" w:rsidP="00A30C60">
      <w:pPr>
        <w:spacing w:after="0" w:line="240" w:lineRule="auto"/>
        <w:ind w:left="360"/>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r w:rsidRPr="00A30C60">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A30C60">
          <w:rPr>
            <w:rFonts w:ascii="Times New Roman" w:eastAsia="Times New Roman" w:hAnsi="Times New Roman" w:cs="Times New Roman"/>
            <w:color w:val="0000FF"/>
            <w:u w:val="single"/>
            <w:lang w:eastAsia="hu-HU"/>
          </w:rPr>
          <w:t>ugyfelszolgalat@naih.hu</w:t>
        </w:r>
      </w:hyperlink>
      <w:r w:rsidRPr="00A30C60">
        <w:rPr>
          <w:rFonts w:ascii="Times New Roman" w:eastAsia="Times New Roman" w:hAnsi="Times New Roman" w:cs="Times New Roman"/>
          <w:lang w:eastAsia="hu-HU"/>
        </w:rPr>
        <w:t>).</w:t>
      </w:r>
    </w:p>
    <w:p w:rsidR="00A30C60" w:rsidRPr="00A30C60" w:rsidRDefault="00A30C60" w:rsidP="00A30C60">
      <w:pPr>
        <w:tabs>
          <w:tab w:val="left" w:pos="960"/>
        </w:tabs>
        <w:spacing w:after="0" w:line="240" w:lineRule="auto"/>
        <w:jc w:val="both"/>
        <w:rPr>
          <w:rFonts w:ascii="Times New Roman" w:eastAsia="Times New Roman" w:hAnsi="Times New Roman" w:cs="Times New Roman"/>
          <w:lang w:eastAsia="hu-HU"/>
        </w:rPr>
      </w:pPr>
    </w:p>
    <w:p w:rsidR="00A30C60" w:rsidRPr="00A30C60" w:rsidRDefault="00A30C60" w:rsidP="00A30C60">
      <w:pPr>
        <w:tabs>
          <w:tab w:val="left" w:pos="960"/>
        </w:tabs>
        <w:spacing w:after="0" w:line="240" w:lineRule="auto"/>
        <w:jc w:val="both"/>
        <w:rPr>
          <w:rFonts w:ascii="Times New Roman" w:eastAsia="Calibri" w:hAnsi="Times New Roman" w:cs="Times New Roman"/>
        </w:rPr>
      </w:pPr>
      <w:r w:rsidRPr="00A30C60">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A30C60" w:rsidRPr="00F97273" w:rsidRDefault="00A30C60" w:rsidP="00F97273">
      <w:pPr>
        <w:tabs>
          <w:tab w:val="left" w:pos="960"/>
        </w:tabs>
        <w:rPr>
          <w:rFonts w:ascii="Times New Roman" w:hAnsi="Times New Roman" w:cs="Times New Roman"/>
          <w:sz w:val="24"/>
          <w:szCs w:val="24"/>
        </w:rPr>
      </w:pPr>
    </w:p>
    <w:sectPr w:rsidR="00A30C60"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E92B48" w:rsidP="008A5F0B">
    <w:pPr>
      <w:pStyle w:val="lfej"/>
      <w:jc w:val="center"/>
      <w:rPr>
        <w:rFonts w:ascii="Times New Roman" w:hAnsi="Times New Roman" w:cs="Times New Roman"/>
        <w:sz w:val="24"/>
      </w:rPr>
    </w:pPr>
  </w:p>
  <w:p w:rsidR="00E92B48" w:rsidRPr="00DF4A1D" w:rsidRDefault="00DF4A1D"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Veszprém Megyei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0A4D"/>
    <w:rsid w:val="0000307B"/>
    <w:rsid w:val="00017BA3"/>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33E8"/>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84C95"/>
    <w:rsid w:val="00490F28"/>
    <w:rsid w:val="004B57C7"/>
    <w:rsid w:val="004E301B"/>
    <w:rsid w:val="00516CC6"/>
    <w:rsid w:val="0053417A"/>
    <w:rsid w:val="0053688B"/>
    <w:rsid w:val="0057409A"/>
    <w:rsid w:val="00582425"/>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501DE"/>
    <w:rsid w:val="0075492F"/>
    <w:rsid w:val="00770F17"/>
    <w:rsid w:val="00783430"/>
    <w:rsid w:val="00787FC1"/>
    <w:rsid w:val="008127D0"/>
    <w:rsid w:val="00817D95"/>
    <w:rsid w:val="0086461C"/>
    <w:rsid w:val="00886EC1"/>
    <w:rsid w:val="008A5F0B"/>
    <w:rsid w:val="008A6FD0"/>
    <w:rsid w:val="008C4877"/>
    <w:rsid w:val="008F0216"/>
    <w:rsid w:val="008F1075"/>
    <w:rsid w:val="008F254B"/>
    <w:rsid w:val="00926F5E"/>
    <w:rsid w:val="00941AAC"/>
    <w:rsid w:val="00951A78"/>
    <w:rsid w:val="00951D7B"/>
    <w:rsid w:val="00971103"/>
    <w:rsid w:val="00981C22"/>
    <w:rsid w:val="009A16DF"/>
    <w:rsid w:val="009B1738"/>
    <w:rsid w:val="009B3287"/>
    <w:rsid w:val="009D3424"/>
    <w:rsid w:val="009D5E64"/>
    <w:rsid w:val="009E55A6"/>
    <w:rsid w:val="00A245DE"/>
    <w:rsid w:val="00A30C60"/>
    <w:rsid w:val="00A515FE"/>
    <w:rsid w:val="00A6214C"/>
    <w:rsid w:val="00A6512E"/>
    <w:rsid w:val="00A76CB9"/>
    <w:rsid w:val="00A9339B"/>
    <w:rsid w:val="00AA3E73"/>
    <w:rsid w:val="00AF3C93"/>
    <w:rsid w:val="00B15AB2"/>
    <w:rsid w:val="00B54029"/>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B6BEA"/>
    <w:rsid w:val="00CC149B"/>
    <w:rsid w:val="00CE64A5"/>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2729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1212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657A-50D3-4E91-B80E-1D96F979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1119</Words>
  <Characters>7725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benis.jozsef</dc:creator>
  <cp:lastModifiedBy>komives.vazul</cp:lastModifiedBy>
  <cp:revision>18</cp:revision>
  <cp:lastPrinted>2019-03-13T10:13:00Z</cp:lastPrinted>
  <dcterms:created xsi:type="dcterms:W3CDTF">2019-05-27T09:28:00Z</dcterms:created>
  <dcterms:modified xsi:type="dcterms:W3CDTF">2025-07-16T11:35:00Z</dcterms:modified>
</cp:coreProperties>
</file>