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951D7B" w:rsidP="00270603">
      <w:pPr>
        <w:spacing w:after="0" w:line="240" w:lineRule="auto"/>
        <w:jc w:val="right"/>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F662FC" w:rsidRPr="008F0216" w:rsidRDefault="00F662FC" w:rsidP="00D70584">
            <w:pPr>
              <w:spacing w:before="100" w:beforeAutospacing="1"/>
              <w:jc w:val="both"/>
              <w:rPr>
                <w:rFonts w:ascii="Times New Roman" w:hAnsi="Times New Roman" w:cs="Times New Roman"/>
                <w:sz w:val="20"/>
                <w:szCs w:val="20"/>
              </w:rPr>
            </w:pPr>
            <w:r>
              <w:rPr>
                <w:rFonts w:ascii="Times New Roman" w:hAnsi="Times New Roman" w:cs="Times New Roman"/>
                <w:sz w:val="20"/>
                <w:szCs w:val="20"/>
              </w:rPr>
              <w:t>EDR forgalma</w:t>
            </w:r>
            <w:r w:rsidR="00D70584">
              <w:rPr>
                <w:rFonts w:ascii="Times New Roman" w:hAnsi="Times New Roman" w:cs="Times New Roman"/>
                <w:sz w:val="20"/>
                <w:szCs w:val="20"/>
              </w:rPr>
              <w:t xml:space="preserve">zás </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F662FC" w:rsidRPr="00C81024" w:rsidRDefault="00D70584" w:rsidP="00D70584">
            <w:pPr>
              <w:pStyle w:val="NormlWeb"/>
              <w:spacing w:after="0" w:afterAutospacing="0"/>
              <w:jc w:val="both"/>
              <w:rPr>
                <w:sz w:val="20"/>
                <w:szCs w:val="20"/>
              </w:rPr>
            </w:pPr>
            <w:r>
              <w:rPr>
                <w:sz w:val="20"/>
                <w:szCs w:val="20"/>
              </w:rPr>
              <w:t>a rádióforgalmazás</w:t>
            </w:r>
            <w:r w:rsidR="00F662FC">
              <w:rPr>
                <w:sz w:val="20"/>
                <w:szCs w:val="20"/>
              </w:rPr>
              <w:t xml:space="preserve"> technikai ellenőrzés</w:t>
            </w:r>
            <w:r>
              <w:rPr>
                <w:sz w:val="20"/>
                <w:szCs w:val="20"/>
              </w:rPr>
              <w:t>e k</w:t>
            </w:r>
            <w:r w:rsidR="00F662FC">
              <w:rPr>
                <w:sz w:val="20"/>
                <w:szCs w:val="20"/>
              </w:rPr>
              <w:t xml:space="preserve">izárólag a szolgálatteljesítés ideje alatt, a szolgálatteljesítésre vonatkozó szabályok betartásának ellenőrzése céljából </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F662FC" w:rsidRPr="008F0216" w:rsidRDefault="00F662FC" w:rsidP="00D70584">
            <w:pPr>
              <w:spacing w:before="100" w:beforeAutospacing="1"/>
              <w:jc w:val="both"/>
              <w:rPr>
                <w:rFonts w:ascii="Times New Roman" w:hAnsi="Times New Roman" w:cs="Times New Roman"/>
                <w:sz w:val="20"/>
                <w:szCs w:val="20"/>
              </w:rPr>
            </w:pPr>
            <w:r>
              <w:rPr>
                <w:rStyle w:val="desc"/>
                <w:rFonts w:ascii="Times New Roman" w:hAnsi="Times New Roman" w:cs="Times New Roman"/>
                <w:bCs/>
                <w:sz w:val="20"/>
                <w:szCs w:val="20"/>
              </w:rPr>
              <w:t>GDPR 6. cikk (1) bekezdés e) pontja</w:t>
            </w:r>
            <w:r w:rsidR="00D70584">
              <w:rPr>
                <w:rStyle w:val="desc"/>
                <w:rFonts w:ascii="Times New Roman" w:hAnsi="Times New Roman" w:cs="Times New Roman"/>
                <w:bCs/>
                <w:sz w:val="20"/>
                <w:szCs w:val="20"/>
              </w:rPr>
              <w:t>, a Hszt. 104. § (1) bekezdése</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F662FC" w:rsidRPr="008F0216" w:rsidRDefault="00D70584"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a</w:t>
            </w:r>
            <w:r w:rsidR="00F662FC">
              <w:rPr>
                <w:rFonts w:ascii="Times New Roman" w:hAnsi="Times New Roman" w:cs="Times New Roman"/>
                <w:sz w:val="20"/>
                <w:szCs w:val="20"/>
              </w:rPr>
              <w:t xml:space="preserve"> forgalmazók EDR rádióinak száma, GPS alapú helye, az elhangzott adatok és információk.</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F662FC" w:rsidRPr="007857EB" w:rsidRDefault="00D70584"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a</w:t>
            </w:r>
            <w:r w:rsidR="00F662FC">
              <w:rPr>
                <w:rFonts w:ascii="Times New Roman" w:hAnsi="Times New Roman" w:cs="Times New Roman"/>
                <w:sz w:val="20"/>
                <w:szCs w:val="20"/>
              </w:rPr>
              <w:t>z Intézet EDR rádiókon kapcsolatot tartó szolgálati</w:t>
            </w:r>
            <w:r w:rsidR="00F662FC" w:rsidRPr="007857EB">
              <w:rPr>
                <w:rFonts w:ascii="Times New Roman" w:hAnsi="Times New Roman" w:cs="Times New Roman"/>
                <w:sz w:val="20"/>
                <w:szCs w:val="20"/>
              </w:rPr>
              <w:t xml:space="preserve"> személy</w:t>
            </w:r>
            <w:r w:rsidR="00F662FC">
              <w:rPr>
                <w:rFonts w:ascii="Times New Roman" w:hAnsi="Times New Roman" w:cs="Times New Roman"/>
                <w:sz w:val="20"/>
                <w:szCs w:val="20"/>
              </w:rPr>
              <w:t>ei.</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F662FC" w:rsidRPr="008E2220" w:rsidRDefault="00F662FC"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E</w:t>
            </w:r>
            <w:r w:rsidRPr="008E2220">
              <w:rPr>
                <w:rFonts w:ascii="Times New Roman" w:hAnsi="Times New Roman" w:cs="Times New Roman"/>
                <w:sz w:val="20"/>
                <w:szCs w:val="20"/>
              </w:rPr>
              <w:t>lektronikus</w:t>
            </w:r>
            <w:r>
              <w:rPr>
                <w:rFonts w:ascii="Times New Roman" w:hAnsi="Times New Roman" w:cs="Times New Roman"/>
                <w:sz w:val="20"/>
                <w:szCs w:val="20"/>
              </w:rPr>
              <w:t xml:space="preserve">an </w:t>
            </w:r>
            <w:r w:rsidRPr="008E2220">
              <w:rPr>
                <w:rFonts w:ascii="Times New Roman" w:hAnsi="Times New Roman" w:cs="Times New Roman"/>
                <w:sz w:val="20"/>
                <w:szCs w:val="20"/>
              </w:rPr>
              <w:t xml:space="preserve">rögzített </w:t>
            </w:r>
            <w:r>
              <w:rPr>
                <w:rFonts w:ascii="Times New Roman" w:hAnsi="Times New Roman" w:cs="Times New Roman"/>
                <w:sz w:val="20"/>
                <w:szCs w:val="20"/>
              </w:rPr>
              <w:t>hang</w:t>
            </w:r>
            <w:r w:rsidRPr="008E2220">
              <w:rPr>
                <w:rFonts w:ascii="Times New Roman" w:hAnsi="Times New Roman" w:cs="Times New Roman"/>
                <w:sz w:val="20"/>
                <w:szCs w:val="20"/>
              </w:rPr>
              <w:t>felvétel</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F662FC" w:rsidRPr="008F0216" w:rsidRDefault="00F662FC"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F662FC" w:rsidRPr="00632A79" w:rsidRDefault="00F662FC" w:rsidP="00523773">
            <w:pPr>
              <w:spacing w:before="100" w:beforeAutospacing="1"/>
              <w:jc w:val="both"/>
              <w:rPr>
                <w:rFonts w:ascii="Times New Roman" w:hAnsi="Times New Roman" w:cs="Times New Roman"/>
                <w:sz w:val="20"/>
                <w:szCs w:val="20"/>
              </w:rPr>
            </w:pPr>
            <w:r>
              <w:rPr>
                <w:rFonts w:ascii="Times New Roman" w:hAnsi="Times New Roman" w:cs="Times New Roman"/>
                <w:sz w:val="20"/>
                <w:szCs w:val="20"/>
              </w:rPr>
              <w:t>-</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F662FC" w:rsidRPr="008F0216" w:rsidRDefault="00F662FC" w:rsidP="00523773">
            <w:pPr>
              <w:spacing w:before="100" w:beforeAutospacing="1"/>
              <w:jc w:val="both"/>
              <w:rPr>
                <w:rFonts w:ascii="Times New Roman" w:hAnsi="Times New Roman" w:cs="Times New Roman"/>
                <w:sz w:val="20"/>
                <w:szCs w:val="20"/>
              </w:rPr>
            </w:pPr>
            <w:r>
              <w:rPr>
                <w:rStyle w:val="desc"/>
                <w:rFonts w:ascii="Times New Roman" w:hAnsi="Times New Roman" w:cs="Times New Roman"/>
                <w:bCs/>
                <w:sz w:val="20"/>
                <w:szCs w:val="20"/>
              </w:rPr>
              <w:t>-</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F662FC" w:rsidRPr="008F0216" w:rsidRDefault="00F662FC" w:rsidP="00523773">
            <w:pPr>
              <w:jc w:val="both"/>
              <w:rPr>
                <w:rFonts w:ascii="Times New Roman" w:hAnsi="Times New Roman" w:cs="Times New Roman"/>
                <w:sz w:val="20"/>
                <w:szCs w:val="20"/>
              </w:rPr>
            </w:pPr>
            <w:r>
              <w:rPr>
                <w:rStyle w:val="desc"/>
                <w:rFonts w:ascii="Times New Roman" w:hAnsi="Times New Roman" w:cs="Times New Roman"/>
                <w:bCs/>
                <w:sz w:val="20"/>
                <w:szCs w:val="20"/>
              </w:rPr>
              <w:t>Hszt. 104. § (6) bekezdése alapján a technikai ellenőrzés során rögzített adatok legfeljebb a rögzítést követő harminc napig kezelhetőek, ezt követően – ha nem indul azok felhasználásával a törvényben meghatározott eljárás – azokat törölni kell.</w:t>
            </w:r>
          </w:p>
        </w:tc>
      </w:tr>
      <w:tr w:rsidR="00F662FC" w:rsidTr="00A515FE">
        <w:trPr>
          <w:trHeight w:val="454"/>
        </w:trPr>
        <w:tc>
          <w:tcPr>
            <w:tcW w:w="4606" w:type="dxa"/>
          </w:tcPr>
          <w:p w:rsidR="00F662FC" w:rsidRPr="008F0216"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8178D9" w:rsidRPr="000C0E8E" w:rsidRDefault="008178D9" w:rsidP="008178D9">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8178D9" w:rsidRPr="000C0E8E" w:rsidRDefault="008178D9" w:rsidP="008178D9">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8178D9" w:rsidRPr="000C0E8E" w:rsidRDefault="008178D9" w:rsidP="008178D9">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F662FC" w:rsidRPr="008F0216" w:rsidRDefault="008178D9" w:rsidP="008178D9">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F662FC" w:rsidTr="004D4888">
        <w:trPr>
          <w:trHeight w:val="567"/>
        </w:trPr>
        <w:tc>
          <w:tcPr>
            <w:tcW w:w="4606" w:type="dxa"/>
          </w:tcPr>
          <w:p w:rsidR="00F662FC" w:rsidRDefault="00F662FC"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vAlign w:val="center"/>
          </w:tcPr>
          <w:p w:rsidR="00D70584" w:rsidRDefault="00D70584" w:rsidP="00D70584">
            <w:pPr>
              <w:jc w:val="both"/>
              <w:rPr>
                <w:rFonts w:ascii="Times New Roman" w:hAnsi="Times New Roman" w:cs="Times New Roman"/>
                <w:sz w:val="20"/>
                <w:szCs w:val="20"/>
              </w:rPr>
            </w:pPr>
            <w:r>
              <w:rPr>
                <w:rFonts w:ascii="Times New Roman" w:hAnsi="Times New Roman" w:cs="Times New Roman"/>
                <w:sz w:val="20"/>
                <w:szCs w:val="20"/>
              </w:rPr>
              <w:t xml:space="preserve">Pro-M </w:t>
            </w:r>
            <w:proofErr w:type="spellStart"/>
            <w:r>
              <w:rPr>
                <w:rFonts w:ascii="Times New Roman" w:hAnsi="Times New Roman" w:cs="Times New Roman"/>
                <w:sz w:val="20"/>
                <w:szCs w:val="20"/>
              </w:rPr>
              <w:t>Zrt</w:t>
            </w:r>
            <w:proofErr w:type="spellEnd"/>
            <w:r>
              <w:rPr>
                <w:rFonts w:ascii="Times New Roman" w:hAnsi="Times New Roman" w:cs="Times New Roman"/>
                <w:sz w:val="20"/>
                <w:szCs w:val="20"/>
              </w:rPr>
              <w:t>.</w:t>
            </w:r>
          </w:p>
          <w:p w:rsidR="00F662FC" w:rsidRPr="008F0216" w:rsidRDefault="00D70584" w:rsidP="00D70584">
            <w:pPr>
              <w:rPr>
                <w:rFonts w:ascii="Times New Roman" w:hAnsi="Times New Roman" w:cs="Times New Roman"/>
                <w:sz w:val="20"/>
                <w:szCs w:val="20"/>
              </w:rPr>
            </w:pPr>
            <w:r>
              <w:rPr>
                <w:rFonts w:ascii="Times New Roman" w:hAnsi="Times New Roman" w:cs="Times New Roman"/>
                <w:sz w:val="20"/>
                <w:szCs w:val="20"/>
              </w:rPr>
              <w:t>1536 Budapest, Pf.: 272</w:t>
            </w:r>
          </w:p>
        </w:tc>
      </w:tr>
      <w:tr w:rsidR="00D46EEF" w:rsidTr="008F0216">
        <w:trPr>
          <w:trHeight w:val="567"/>
        </w:trPr>
        <w:tc>
          <w:tcPr>
            <w:tcW w:w="4606" w:type="dxa"/>
          </w:tcPr>
          <w:p w:rsidR="00D46EEF" w:rsidRDefault="00D46EEF" w:rsidP="00D70584">
            <w:pPr>
              <w:spacing w:before="100" w:beforeAutospacing="1"/>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D46EEF" w:rsidRPr="008F0216" w:rsidRDefault="00D70584" w:rsidP="00D46EEF">
            <w:pPr>
              <w:spacing w:before="100" w:beforeAutospacing="1"/>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8178D9" w:rsidRDefault="008178D9" w:rsidP="006D4FDC">
      <w:pPr>
        <w:spacing w:after="0" w:line="240" w:lineRule="auto"/>
        <w:jc w:val="both"/>
        <w:rPr>
          <w:rFonts w:ascii="Times New Roman" w:hAnsi="Times New Roman" w:cs="Times New Roman"/>
          <w:sz w:val="20"/>
          <w:szCs w:val="24"/>
        </w:rPr>
      </w:pPr>
    </w:p>
    <w:p w:rsidR="006D4FDC" w:rsidRDefault="006D4FDC" w:rsidP="006D4FDC">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6D4FDC" w:rsidRDefault="006D4FDC" w:rsidP="006D4FDC">
      <w:pPr>
        <w:spacing w:after="0" w:line="240" w:lineRule="auto"/>
        <w:jc w:val="both"/>
        <w:rPr>
          <w:rFonts w:ascii="Times New Roman" w:hAnsi="Times New Roman" w:cs="Times New Roman"/>
          <w:sz w:val="20"/>
          <w:szCs w:val="24"/>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w:t>
      </w:r>
      <w:bookmarkStart w:id="0" w:name="_GoBack"/>
      <w:bookmarkEnd w:id="0"/>
      <w:r>
        <w:rPr>
          <w:rFonts w:ascii="Times New Roman" w:hAnsi="Times New Roman" w:cs="Times New Roman"/>
          <w:sz w:val="20"/>
          <w:szCs w:val="20"/>
        </w:rPr>
        <w:t>eléssel összefüggésben az adatkezelő adatvédelmi tisztviselőjén keresztül jogosult:</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6D4FDC" w:rsidRDefault="006D4FDC" w:rsidP="006D4FDC">
      <w:pPr>
        <w:spacing w:after="0" w:line="240" w:lineRule="auto"/>
        <w:ind w:left="360"/>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6D4FDC" w:rsidRDefault="006D4FDC" w:rsidP="006D4FDC">
      <w:pPr>
        <w:pStyle w:val="Listaszerbekezds"/>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6D4FDC" w:rsidRDefault="006D4FDC" w:rsidP="006D4FDC">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6D4FDC" w:rsidRDefault="006D4FDC" w:rsidP="006D4FDC">
      <w:pPr>
        <w:spacing w:after="0" w:line="240" w:lineRule="auto"/>
        <w:ind w:left="360"/>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w:t>
      </w:r>
      <w:r>
        <w:rPr>
          <w:rFonts w:ascii="Times New Roman" w:hAnsi="Times New Roman" w:cs="Times New Roman"/>
          <w:sz w:val="20"/>
          <w:szCs w:val="20"/>
        </w:rPr>
        <w:lastRenderedPageBreak/>
        <w:t>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6D4FDC" w:rsidRDefault="006D4FDC" w:rsidP="006D4FDC">
      <w:pPr>
        <w:spacing w:after="0" w:line="240" w:lineRule="auto"/>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6D4FDC" w:rsidRDefault="006D4FDC" w:rsidP="006D4FDC">
      <w:pPr>
        <w:spacing w:after="0" w:line="240" w:lineRule="auto"/>
        <w:ind w:left="720"/>
        <w:jc w:val="both"/>
        <w:rPr>
          <w:rFonts w:ascii="Times New Roman" w:hAnsi="Times New Roman" w:cs="Times New Roman"/>
          <w:sz w:val="20"/>
          <w:szCs w:val="20"/>
        </w:rPr>
      </w:pPr>
    </w:p>
    <w:p w:rsidR="006D4FDC" w:rsidRDefault="006D4FDC" w:rsidP="006D4F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D4FDC" w:rsidRDefault="006D4FDC" w:rsidP="006D4FDC">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08" w:rsidRDefault="00671208" w:rsidP="008F1075">
      <w:pPr>
        <w:spacing w:after="0" w:line="240" w:lineRule="auto"/>
      </w:pPr>
      <w:r>
        <w:separator/>
      </w:r>
    </w:p>
  </w:endnote>
  <w:endnote w:type="continuationSeparator" w:id="0">
    <w:p w:rsidR="00671208" w:rsidRDefault="0067120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08" w:rsidRDefault="00671208" w:rsidP="008F1075">
      <w:pPr>
        <w:spacing w:after="0" w:line="240" w:lineRule="auto"/>
      </w:pPr>
      <w:r>
        <w:separator/>
      </w:r>
    </w:p>
  </w:footnote>
  <w:footnote w:type="continuationSeparator" w:id="0">
    <w:p w:rsidR="00671208" w:rsidRDefault="0067120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08" w:rsidRDefault="00671208" w:rsidP="008F1075">
    <w:pPr>
      <w:pStyle w:val="lfej"/>
      <w:jc w:val="center"/>
      <w:rPr>
        <w:rFonts w:ascii="Times New Roman" w:hAnsi="Times New Roman" w:cs="Times New Roman"/>
        <w:sz w:val="24"/>
      </w:rPr>
    </w:pPr>
  </w:p>
  <w:p w:rsidR="00671208" w:rsidRDefault="0067120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178D9" w:rsidRPr="00FC770B" w:rsidRDefault="008178D9" w:rsidP="008178D9">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671208" w:rsidRDefault="00671208"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383D"/>
    <w:rsid w:val="0006427A"/>
    <w:rsid w:val="00072087"/>
    <w:rsid w:val="000729EF"/>
    <w:rsid w:val="000A70C4"/>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14E40"/>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71208"/>
    <w:rsid w:val="006A11F0"/>
    <w:rsid w:val="006A20EA"/>
    <w:rsid w:val="006A220A"/>
    <w:rsid w:val="006B598A"/>
    <w:rsid w:val="006C3EF7"/>
    <w:rsid w:val="006D4FDC"/>
    <w:rsid w:val="006F4A7A"/>
    <w:rsid w:val="00707308"/>
    <w:rsid w:val="00710BB4"/>
    <w:rsid w:val="0071238A"/>
    <w:rsid w:val="007141FD"/>
    <w:rsid w:val="007156D3"/>
    <w:rsid w:val="007162B9"/>
    <w:rsid w:val="00730D29"/>
    <w:rsid w:val="0075492F"/>
    <w:rsid w:val="00770F17"/>
    <w:rsid w:val="00787FC1"/>
    <w:rsid w:val="008127D0"/>
    <w:rsid w:val="008178D9"/>
    <w:rsid w:val="00817D95"/>
    <w:rsid w:val="0086461C"/>
    <w:rsid w:val="00886EC1"/>
    <w:rsid w:val="008A5F0B"/>
    <w:rsid w:val="008A6FD0"/>
    <w:rsid w:val="008C4877"/>
    <w:rsid w:val="008F0216"/>
    <w:rsid w:val="008F1075"/>
    <w:rsid w:val="008F254B"/>
    <w:rsid w:val="00926F5E"/>
    <w:rsid w:val="00951A78"/>
    <w:rsid w:val="00951D7B"/>
    <w:rsid w:val="009524E9"/>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74AC"/>
    <w:rsid w:val="00D46EEF"/>
    <w:rsid w:val="00D542DC"/>
    <w:rsid w:val="00D549EC"/>
    <w:rsid w:val="00D70584"/>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662FC"/>
    <w:rsid w:val="00F97273"/>
    <w:rsid w:val="00FA030A"/>
    <w:rsid w:val="00FB1FBF"/>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desc">
    <w:name w:val="desc"/>
    <w:basedOn w:val="Bekezdsalapbettpusa"/>
    <w:rsid w:val="00D46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 w:type="character" w:customStyle="1" w:styleId="desc">
    <w:name w:val="desc"/>
    <w:basedOn w:val="Bekezdsalapbettpusa"/>
    <w:rsid w:val="00D4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399442683">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73C6-B9C6-4BC7-8E98-C30DE229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7309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2024-12-09T13:39:00Z</dcterms:created>
  <dcterms:modified xsi:type="dcterms:W3CDTF">2024-12-09T13:40:00Z</dcterms:modified>
</cp:coreProperties>
</file>