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AA" w:rsidRDefault="00372381" w:rsidP="00372381">
      <w:pPr>
        <w:spacing w:after="0" w:line="240" w:lineRule="auto"/>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30513-13/2-1/2024.Anyvt.</w:t>
      </w:r>
    </w:p>
    <w:p w:rsidR="00372381" w:rsidRPr="00372381" w:rsidRDefault="00372381" w:rsidP="00372381">
      <w:pPr>
        <w:spacing w:after="0" w:line="240" w:lineRule="auto"/>
        <w:rPr>
          <w:rFonts w:ascii="Times New Roman" w:hAnsi="Times New Roman"/>
          <w:b/>
          <w:sz w:val="24"/>
          <w:szCs w:val="24"/>
        </w:rPr>
      </w:pPr>
    </w:p>
    <w:tbl>
      <w:tblPr>
        <w:tblStyle w:val="Rcsostblzat"/>
        <w:tblW w:w="0" w:type="auto"/>
        <w:tblLook w:val="04A0" w:firstRow="1" w:lastRow="0" w:firstColumn="1" w:lastColumn="0" w:noHBand="0" w:noVBand="1"/>
      </w:tblPr>
      <w:tblGrid>
        <w:gridCol w:w="4379"/>
        <w:gridCol w:w="4909"/>
      </w:tblGrid>
      <w:tr w:rsidR="004F0588" w:rsidRPr="00972886" w:rsidTr="001033AA">
        <w:trPr>
          <w:trHeight w:val="392"/>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megnevezése</w:t>
            </w:r>
          </w:p>
        </w:tc>
        <w:tc>
          <w:tcPr>
            <w:tcW w:w="4909" w:type="dxa"/>
          </w:tcPr>
          <w:p w:rsidR="004F0588" w:rsidRPr="000B5447" w:rsidRDefault="004F0588" w:rsidP="00743C37">
            <w:pPr>
              <w:jc w:val="both"/>
              <w:rPr>
                <w:rFonts w:ascii="Times New Roman" w:hAnsi="Times New Roman" w:cs="Times New Roman"/>
                <w:b/>
                <w:sz w:val="24"/>
                <w:szCs w:val="24"/>
              </w:rPr>
            </w:pPr>
            <w:r w:rsidRPr="000B5447">
              <w:rPr>
                <w:rFonts w:ascii="Times New Roman" w:hAnsi="Times New Roman" w:cs="Times New Roman"/>
                <w:b/>
                <w:sz w:val="24"/>
                <w:szCs w:val="24"/>
              </w:rPr>
              <w:t xml:space="preserve">Elektronikus megfigyelési eszközök felvételei </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célja</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 xml:space="preserve">1. A büntetés-végrehajtás rendjének biztosítása </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2. A minősített adathoz történő hozzáférés elleni védelem</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3. Az elektronikus információbiztonság fizikai térben megvalósuló fenyegetések elleni védelem</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4. A rendvédelmi szerv személyi állományának technikai ellenőrzése</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jogalapja</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 2011. évi CXII. törvény 5. § (2) bekezdés b) pont, 2013. évi CCXL. törvény 150. §</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2. GDPR 6. cikk (1) bekezdés e) pont, 2009. évi CLV. törvény 10. §</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3. GDPR 6. cikk (1) bekezdés e) pont, 2013. évi L. törvény 1. § 20.</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4. GDPR 6. cikk (1) bekezdés e) pont, 2015. évi LXII. törvény 104. §</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adatok fajtája</w:t>
            </w:r>
          </w:p>
        </w:tc>
        <w:tc>
          <w:tcPr>
            <w:tcW w:w="4909" w:type="dxa"/>
          </w:tcPr>
          <w:p w:rsidR="004F0588" w:rsidRPr="00972886" w:rsidRDefault="004F0588" w:rsidP="00743C37">
            <w:pPr>
              <w:tabs>
                <w:tab w:val="left" w:pos="1331"/>
              </w:tabs>
              <w:jc w:val="both"/>
              <w:rPr>
                <w:rFonts w:ascii="Times New Roman" w:hAnsi="Times New Roman" w:cs="Times New Roman"/>
                <w:sz w:val="24"/>
                <w:szCs w:val="24"/>
              </w:rPr>
            </w:pPr>
            <w:r w:rsidRPr="00972886">
              <w:rPr>
                <w:rFonts w:ascii="Times New Roman" w:hAnsi="Times New Roman" w:cs="Times New Roman"/>
                <w:sz w:val="24"/>
                <w:szCs w:val="24"/>
              </w:rPr>
              <w:t>1-4. A kamera látóterébe kerülő személy képmása</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érintettek köre</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 xml:space="preserve">1-4. A </w:t>
            </w:r>
            <w:proofErr w:type="spellStart"/>
            <w:r w:rsidRPr="00972886">
              <w:rPr>
                <w:rFonts w:ascii="Times New Roman" w:hAnsi="Times New Roman" w:cs="Times New Roman"/>
                <w:sz w:val="24"/>
                <w:szCs w:val="24"/>
              </w:rPr>
              <w:t>bv</w:t>
            </w:r>
            <w:proofErr w:type="spellEnd"/>
            <w:r w:rsidRPr="00972886">
              <w:rPr>
                <w:rFonts w:ascii="Times New Roman" w:hAnsi="Times New Roman" w:cs="Times New Roman"/>
                <w:sz w:val="24"/>
                <w:szCs w:val="24"/>
              </w:rPr>
              <w:t>. szerv területére belépő, illetve annak környezetében tartózkodó személyek</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adatok forrása</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1-4. Elektronikus megfigyelési eszköz</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 továbbított adatok fajtája</w:t>
            </w:r>
          </w:p>
        </w:tc>
        <w:tc>
          <w:tcPr>
            <w:tcW w:w="4909" w:type="dxa"/>
          </w:tcPr>
          <w:p w:rsidR="004F0588" w:rsidRPr="00972886" w:rsidRDefault="004F0588" w:rsidP="00743C37">
            <w:pPr>
              <w:tabs>
                <w:tab w:val="left" w:pos="1087"/>
              </w:tabs>
              <w:jc w:val="both"/>
              <w:rPr>
                <w:rFonts w:ascii="Times New Roman" w:hAnsi="Times New Roman" w:cs="Times New Roman"/>
                <w:sz w:val="24"/>
                <w:szCs w:val="24"/>
              </w:rPr>
            </w:pPr>
            <w:r w:rsidRPr="00972886">
              <w:rPr>
                <w:rFonts w:ascii="Times New Roman" w:hAnsi="Times New Roman" w:cs="Times New Roman"/>
                <w:sz w:val="24"/>
                <w:szCs w:val="24"/>
              </w:rPr>
              <w:t>1., 4. A kamera látóterébe kerülő személy képmása</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 továbbított adatok címzettje</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 4. Büntetés-végrehajtás Országos Parancsnoksága</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adattovábbítás jogalapja</w:t>
            </w:r>
          </w:p>
        </w:tc>
        <w:tc>
          <w:tcPr>
            <w:tcW w:w="4909" w:type="dxa"/>
          </w:tcPr>
          <w:p w:rsidR="004F0588" w:rsidRPr="00972886" w:rsidRDefault="00C65925" w:rsidP="00743C37">
            <w:pPr>
              <w:jc w:val="both"/>
              <w:rPr>
                <w:rFonts w:ascii="Times New Roman" w:hAnsi="Times New Roman" w:cs="Times New Roman"/>
                <w:sz w:val="24"/>
                <w:szCs w:val="24"/>
              </w:rPr>
            </w:pPr>
            <w:r>
              <w:rPr>
                <w:rFonts w:ascii="Times New Roman" w:hAnsi="Times New Roman" w:cs="Times New Roman"/>
                <w:sz w:val="24"/>
                <w:szCs w:val="24"/>
              </w:rPr>
              <w:t>1.,</w:t>
            </w:r>
            <w:r w:rsidR="004F0588" w:rsidRPr="00972886">
              <w:rPr>
                <w:rFonts w:ascii="Times New Roman" w:hAnsi="Times New Roman" w:cs="Times New Roman"/>
                <w:sz w:val="24"/>
                <w:szCs w:val="24"/>
              </w:rPr>
              <w:t xml:space="preserve"> 4. 1995. évi CVII. törvény 5. § b) pont</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egyes adatfajták törlési határideje</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1-3. 2013. évi CCXL. törvény 150. § (7)-(9) bekezdése szerinti megőrzési idő letelte/30 nap</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4. 2015. évi LXII. törvény 104. § (6)-(7) bekezdés szerinti megőrzési idő letelte</w:t>
            </w:r>
          </w:p>
        </w:tc>
      </w:tr>
      <w:tr w:rsidR="004F0588" w:rsidRPr="00972886" w:rsidTr="001033AA">
        <w:trPr>
          <w:trHeight w:val="454"/>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 xml:space="preserve">Az adatkezelő neve és címe (székhelye), az </w:t>
            </w:r>
          </w:p>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adatvédelmi tisztviselő neve és elérhetősége</w:t>
            </w:r>
          </w:p>
        </w:tc>
        <w:tc>
          <w:tcPr>
            <w:tcW w:w="4909" w:type="dxa"/>
          </w:tcPr>
          <w:p w:rsidR="007F79D3" w:rsidRPr="007F79D3" w:rsidRDefault="007F79D3" w:rsidP="007F79D3">
            <w:pPr>
              <w:jc w:val="both"/>
              <w:rPr>
                <w:rFonts w:ascii="Times New Roman" w:hAnsi="Times New Roman"/>
                <w:sz w:val="24"/>
                <w:szCs w:val="24"/>
              </w:rPr>
            </w:pPr>
            <w:r w:rsidRPr="007F79D3">
              <w:rPr>
                <w:rFonts w:ascii="Times New Roman" w:hAnsi="Times New Roman"/>
                <w:sz w:val="24"/>
                <w:szCs w:val="24"/>
              </w:rPr>
              <w:t>Tököli Országos Büntetés-végrehajtási Intézet</w:t>
            </w:r>
          </w:p>
          <w:p w:rsidR="007F79D3" w:rsidRPr="007F79D3" w:rsidRDefault="007F79D3" w:rsidP="007F79D3">
            <w:pPr>
              <w:jc w:val="both"/>
              <w:rPr>
                <w:rFonts w:ascii="Times New Roman" w:hAnsi="Times New Roman"/>
                <w:sz w:val="24"/>
                <w:szCs w:val="24"/>
              </w:rPr>
            </w:pPr>
            <w:r w:rsidRPr="007F79D3">
              <w:rPr>
                <w:rFonts w:ascii="Times New Roman" w:hAnsi="Times New Roman"/>
                <w:sz w:val="24"/>
                <w:szCs w:val="24"/>
              </w:rPr>
              <w:t>2316 Tököl, Ráckevei út 6.</w:t>
            </w:r>
          </w:p>
          <w:p w:rsidR="007F79D3" w:rsidRPr="007F79D3" w:rsidRDefault="007F79D3" w:rsidP="007F79D3">
            <w:pPr>
              <w:jc w:val="both"/>
              <w:rPr>
                <w:rFonts w:ascii="Times New Roman" w:hAnsi="Times New Roman"/>
                <w:sz w:val="24"/>
                <w:szCs w:val="24"/>
              </w:rPr>
            </w:pPr>
            <w:r w:rsidRPr="007F79D3">
              <w:rPr>
                <w:rFonts w:ascii="Times New Roman" w:hAnsi="Times New Roman"/>
                <w:sz w:val="24"/>
                <w:szCs w:val="24"/>
              </w:rPr>
              <w:t xml:space="preserve">dr. </w:t>
            </w:r>
            <w:proofErr w:type="spellStart"/>
            <w:r w:rsidRPr="007F79D3">
              <w:rPr>
                <w:rFonts w:ascii="Times New Roman" w:hAnsi="Times New Roman"/>
                <w:sz w:val="24"/>
                <w:szCs w:val="24"/>
              </w:rPr>
              <w:t>Monostory</w:t>
            </w:r>
            <w:proofErr w:type="spellEnd"/>
            <w:r w:rsidRPr="007F79D3">
              <w:rPr>
                <w:rFonts w:ascii="Times New Roman" w:hAnsi="Times New Roman"/>
                <w:sz w:val="24"/>
                <w:szCs w:val="24"/>
              </w:rPr>
              <w:t xml:space="preserve"> Péter c. </w:t>
            </w:r>
            <w:proofErr w:type="spellStart"/>
            <w:r w:rsidRPr="007F79D3">
              <w:rPr>
                <w:rFonts w:ascii="Times New Roman" w:hAnsi="Times New Roman"/>
                <w:sz w:val="24"/>
                <w:szCs w:val="24"/>
              </w:rPr>
              <w:t>bv</w:t>
            </w:r>
            <w:proofErr w:type="spellEnd"/>
            <w:r w:rsidRPr="007F79D3">
              <w:rPr>
                <w:rFonts w:ascii="Times New Roman" w:hAnsi="Times New Roman"/>
                <w:sz w:val="24"/>
                <w:szCs w:val="24"/>
              </w:rPr>
              <w:t>. alezredes</w:t>
            </w:r>
          </w:p>
          <w:p w:rsidR="004F0588" w:rsidRPr="00972886" w:rsidRDefault="007F79D3" w:rsidP="007F79D3">
            <w:pPr>
              <w:jc w:val="both"/>
              <w:rPr>
                <w:rFonts w:ascii="Times New Roman" w:hAnsi="Times New Roman" w:cs="Times New Roman"/>
                <w:sz w:val="24"/>
                <w:szCs w:val="24"/>
              </w:rPr>
            </w:pPr>
            <w:r>
              <w:rPr>
                <w:rFonts w:ascii="Times New Roman" w:hAnsi="Times New Roman"/>
                <w:sz w:val="24"/>
                <w:szCs w:val="24"/>
              </w:rPr>
              <w:t>Tel.: 06</w:t>
            </w:r>
            <w:r w:rsidR="00674C16">
              <w:rPr>
                <w:rFonts w:ascii="Times New Roman" w:hAnsi="Times New Roman"/>
                <w:sz w:val="24"/>
                <w:szCs w:val="24"/>
              </w:rPr>
              <w:t xml:space="preserve"> </w:t>
            </w:r>
            <w:r>
              <w:rPr>
                <w:rFonts w:ascii="Times New Roman" w:hAnsi="Times New Roman"/>
                <w:sz w:val="24"/>
                <w:szCs w:val="24"/>
              </w:rPr>
              <w:t>24</w:t>
            </w:r>
            <w:r w:rsidR="00674C16">
              <w:rPr>
                <w:rFonts w:ascii="Times New Roman" w:hAnsi="Times New Roman"/>
                <w:sz w:val="24"/>
                <w:szCs w:val="24"/>
              </w:rPr>
              <w:t> </w:t>
            </w:r>
            <w:r>
              <w:rPr>
                <w:rFonts w:ascii="Times New Roman" w:hAnsi="Times New Roman"/>
                <w:sz w:val="24"/>
                <w:szCs w:val="24"/>
              </w:rPr>
              <w:t>503</w:t>
            </w:r>
            <w:r w:rsidRPr="007F79D3">
              <w:rPr>
                <w:rFonts w:ascii="Times New Roman" w:hAnsi="Times New Roman"/>
                <w:sz w:val="24"/>
                <w:szCs w:val="24"/>
              </w:rPr>
              <w:t>100, e-mail: tokol.uk@bv.gov.hu</w:t>
            </w:r>
          </w:p>
        </w:tc>
      </w:tr>
      <w:tr w:rsidR="004F0588" w:rsidRPr="00972886" w:rsidTr="001033AA">
        <w:trPr>
          <w:trHeight w:val="567"/>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 tényleges adatkezelés helye, illetve az adatfeldolgozás helye</w:t>
            </w:r>
          </w:p>
        </w:tc>
        <w:tc>
          <w:tcPr>
            <w:tcW w:w="4909" w:type="dxa"/>
          </w:tcPr>
          <w:p w:rsidR="004F0588" w:rsidRPr="00972886" w:rsidRDefault="004F058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F0588" w:rsidRPr="00972886" w:rsidTr="001033AA">
        <w:trPr>
          <w:trHeight w:val="567"/>
        </w:trPr>
        <w:tc>
          <w:tcPr>
            <w:tcW w:w="4379"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 xml:space="preserve">Az adatkezelés jogszerűsége és a személyes adatok megfelelő szintű biztonsága érdekében végrehajtott műszaki és szervezési biztonsági intézkedések </w:t>
            </w:r>
            <w:r w:rsidRPr="00972886">
              <w:rPr>
                <w:rFonts w:ascii="Times New Roman" w:hAnsi="Times New Roman" w:cs="Times New Roman"/>
                <w:sz w:val="24"/>
                <w:szCs w:val="24"/>
              </w:rPr>
              <w:lastRenderedPageBreak/>
              <w:t>általános leírása</w:t>
            </w:r>
          </w:p>
        </w:tc>
        <w:tc>
          <w:tcPr>
            <w:tcW w:w="4909"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lastRenderedPageBreak/>
              <w:t xml:space="preserve">A büntetés-végrehajtási szervezet Adatvédelmi és Adatbiztonsági Szabályzatában, Egységes Iratkezelési Szabályzatában, valamint Informatikai Biztonsági Szabályzatában foglalt </w:t>
            </w:r>
            <w:r w:rsidRPr="00972886">
              <w:rPr>
                <w:rFonts w:ascii="Times New Roman" w:hAnsi="Times New Roman" w:cs="Times New Roman"/>
                <w:sz w:val="24"/>
                <w:szCs w:val="24"/>
              </w:rPr>
              <w:lastRenderedPageBreak/>
              <w:t xml:space="preserve">intézkedések </w:t>
            </w:r>
          </w:p>
        </w:tc>
      </w:tr>
    </w:tbl>
    <w:p w:rsidR="00217AB6" w:rsidRDefault="00217AB6" w:rsidP="00217AB6">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81040"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C81040"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Egyes esetekben törvényi rendelkezések alapján a tájékoztatást az  adatkezelő megtagadhatja, ekkor a  válaszban minden esetben megjelölésre kerül, hogy mely törvényi rendelkezés  </w:t>
      </w:r>
      <w:r w:rsidRPr="009D480E">
        <w:rPr>
          <w:rFonts w:ascii="Times New Roman" w:hAnsi="Times New Roman" w:cs="Times New Roman"/>
          <w:sz w:val="24"/>
          <w:szCs w:val="24"/>
        </w:rPr>
        <w:lastRenderedPageBreak/>
        <w:t>alapján került megtagadásra a tájékoztatás, és az érintett milyen jogorvoslati lehetőséget vehet igénybe.</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C81040"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C81040"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w:t>
      </w:r>
      <w:r w:rsidRPr="009D480E">
        <w:rPr>
          <w:rFonts w:ascii="Times New Roman" w:hAnsi="Times New Roman" w:cs="Times New Roman"/>
          <w:sz w:val="24"/>
          <w:szCs w:val="24"/>
        </w:rPr>
        <w:lastRenderedPageBreak/>
        <w:t>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C81040"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C81040" w:rsidRPr="009D480E" w:rsidRDefault="00C81040" w:rsidP="00C81040">
      <w:pPr>
        <w:spacing w:after="0" w:line="240" w:lineRule="auto"/>
        <w:jc w:val="both"/>
        <w:rPr>
          <w:rFonts w:ascii="Times New Roman" w:hAnsi="Times New Roman" w:cs="Times New Roman"/>
          <w:sz w:val="24"/>
          <w:szCs w:val="24"/>
        </w:rPr>
      </w:pPr>
    </w:p>
    <w:p w:rsidR="003575C9" w:rsidRDefault="00C81040" w:rsidP="00C81040">
      <w:pPr>
        <w:spacing w:after="0" w:line="240" w:lineRule="auto"/>
        <w:jc w:val="both"/>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01795"/>
      <w:docPartObj>
        <w:docPartGallery w:val="Page Numbers (Bottom of Page)"/>
        <w:docPartUnique/>
      </w:docPartObj>
    </w:sdtPr>
    <w:sdtEndPr>
      <w:rPr>
        <w:rFonts w:ascii="Times New Roman" w:hAnsi="Times New Roman" w:cs="Times New Roman"/>
      </w:rPr>
    </w:sdtEndPr>
    <w:sdtContent>
      <w:p w:rsidR="007F79D3" w:rsidRPr="007F79D3" w:rsidRDefault="007F79D3" w:rsidP="007F79D3">
        <w:pPr>
          <w:ind w:left="993"/>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17AB6" w:rsidRPr="00217AB6" w:rsidRDefault="00217AB6">
        <w:pPr>
          <w:pStyle w:val="llb"/>
          <w:jc w:val="right"/>
          <w:rPr>
            <w:rFonts w:ascii="Times New Roman" w:hAnsi="Times New Roman" w:cs="Times New Roman"/>
          </w:rPr>
        </w:pPr>
        <w:r w:rsidRPr="00217AB6">
          <w:rPr>
            <w:rFonts w:ascii="Times New Roman" w:hAnsi="Times New Roman" w:cs="Times New Roman"/>
          </w:rPr>
          <w:fldChar w:fldCharType="begin"/>
        </w:r>
        <w:r w:rsidRPr="00217AB6">
          <w:rPr>
            <w:rFonts w:ascii="Times New Roman" w:hAnsi="Times New Roman" w:cs="Times New Roman"/>
          </w:rPr>
          <w:instrText>PAGE   \* MERGEFORMAT</w:instrText>
        </w:r>
        <w:r w:rsidRPr="00217AB6">
          <w:rPr>
            <w:rFonts w:ascii="Times New Roman" w:hAnsi="Times New Roman" w:cs="Times New Roman"/>
          </w:rPr>
          <w:fldChar w:fldCharType="separate"/>
        </w:r>
        <w:r w:rsidR="00372381">
          <w:rPr>
            <w:rFonts w:ascii="Times New Roman" w:hAnsi="Times New Roman" w:cs="Times New Roman"/>
            <w:noProof/>
          </w:rPr>
          <w:t>1</w:t>
        </w:r>
        <w:r w:rsidRPr="00217AB6">
          <w:rPr>
            <w:rFonts w:ascii="Times New Roman" w:hAnsi="Times New Roman" w:cs="Times New Roman"/>
          </w:rPr>
          <w:fldChar w:fldCharType="end"/>
        </w: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57998C5" wp14:editId="64E6A2A5">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F79D3" w:rsidRPr="00795893" w:rsidRDefault="007F79D3" w:rsidP="007F79D3">
    <w:pPr>
      <w:pStyle w:val="lfej"/>
      <w:jc w:val="center"/>
      <w:rPr>
        <w:rFonts w:ascii="Times New Roman" w:hAnsi="Times New Roman" w:cs="Times New Roman"/>
      </w:rPr>
    </w:pPr>
    <w:r>
      <w:rPr>
        <w:rFonts w:ascii="Times New Roman" w:hAnsi="Times New Roman" w:cs="Times New Roman"/>
      </w:rPr>
      <w:t>II. AGGLOMERÁCIÓ</w:t>
    </w:r>
  </w:p>
  <w:p w:rsidR="007F79D3" w:rsidRPr="00795893" w:rsidRDefault="007F79D3" w:rsidP="007F79D3">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1033AA"/>
    <w:rsid w:val="00217AB6"/>
    <w:rsid w:val="003575C9"/>
    <w:rsid w:val="00372381"/>
    <w:rsid w:val="004F0588"/>
    <w:rsid w:val="00674C16"/>
    <w:rsid w:val="00746E61"/>
    <w:rsid w:val="007F79D3"/>
    <w:rsid w:val="0089571E"/>
    <w:rsid w:val="008E439D"/>
    <w:rsid w:val="008F5E9E"/>
    <w:rsid w:val="00AD4157"/>
    <w:rsid w:val="00AE3A04"/>
    <w:rsid w:val="00B710FB"/>
    <w:rsid w:val="00C65925"/>
    <w:rsid w:val="00C81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3298">
      <w:bodyDiv w:val="1"/>
      <w:marLeft w:val="0"/>
      <w:marRight w:val="0"/>
      <w:marTop w:val="0"/>
      <w:marBottom w:val="0"/>
      <w:divBdr>
        <w:top w:val="none" w:sz="0" w:space="0" w:color="auto"/>
        <w:left w:val="none" w:sz="0" w:space="0" w:color="auto"/>
        <w:bottom w:val="none" w:sz="0" w:space="0" w:color="auto"/>
        <w:right w:val="none" w:sz="0" w:space="0" w:color="auto"/>
      </w:divBdr>
    </w:div>
    <w:div w:id="9772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1145</Words>
  <Characters>7904</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komoroczi.bernadett</dc:creator>
  <cp:lastModifiedBy>tokol.uk</cp:lastModifiedBy>
  <cp:revision>11</cp:revision>
  <dcterms:created xsi:type="dcterms:W3CDTF">2020-11-20T10:53:00Z</dcterms:created>
  <dcterms:modified xsi:type="dcterms:W3CDTF">2024-06-13T10:04:00Z</dcterms:modified>
</cp:coreProperties>
</file>