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74A" w:rsidRDefault="0018574A" w:rsidP="0018574A">
      <w:pPr>
        <w:spacing w:after="0" w:line="240" w:lineRule="auto"/>
        <w:rPr>
          <w:rFonts w:ascii="Times New Roman" w:hAnsi="Times New Roman"/>
          <w:b/>
          <w:sz w:val="24"/>
          <w:szCs w:val="24"/>
        </w:rPr>
      </w:pPr>
      <w:r>
        <w:rPr>
          <w:rFonts w:ascii="Times New Roman" w:hAnsi="Times New Roman"/>
          <w:b/>
          <w:sz w:val="24"/>
          <w:szCs w:val="24"/>
        </w:rPr>
        <w:t>30509-13/50/202</w:t>
      </w:r>
      <w:r w:rsidR="00827CAC">
        <w:rPr>
          <w:rFonts w:ascii="Times New Roman" w:hAnsi="Times New Roman"/>
          <w:b/>
          <w:sz w:val="24"/>
          <w:szCs w:val="24"/>
        </w:rPr>
        <w:t>4</w:t>
      </w:r>
      <w:r>
        <w:rPr>
          <w:rFonts w:ascii="Times New Roman" w:hAnsi="Times New Roman"/>
          <w:b/>
          <w:sz w:val="24"/>
          <w:szCs w:val="24"/>
        </w:rPr>
        <w:t>.Anyt.</w:t>
      </w:r>
    </w:p>
    <w:p w:rsidR="00947358" w:rsidRDefault="00947358" w:rsidP="0018574A">
      <w:pPr>
        <w:spacing w:after="0" w:line="240" w:lineRule="auto"/>
        <w:rPr>
          <w:rFonts w:ascii="Times New Roman" w:hAnsi="Times New Roman"/>
          <w:b/>
          <w:sz w:val="24"/>
          <w:szCs w:val="24"/>
        </w:rPr>
      </w:pPr>
      <w:r>
        <w:rPr>
          <w:rFonts w:ascii="Times New Roman" w:hAnsi="Times New Roman"/>
          <w:b/>
          <w:sz w:val="24"/>
          <w:szCs w:val="24"/>
        </w:rPr>
        <w:t>Frissítve: 2025.10.09.</w:t>
      </w:r>
    </w:p>
    <w:p w:rsidR="003258D1" w:rsidRDefault="003258D1" w:rsidP="003258D1">
      <w:pPr>
        <w:spacing w:after="0" w:line="240" w:lineRule="auto"/>
        <w:rPr>
          <w:rFonts w:ascii="Times New Roman" w:hAnsi="Times New Roman"/>
          <w:b/>
          <w:sz w:val="24"/>
          <w:szCs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237"/>
      </w:tblGrid>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adatkezelés megnevezése</w:t>
            </w:r>
          </w:p>
        </w:tc>
        <w:tc>
          <w:tcPr>
            <w:tcW w:w="6237" w:type="dxa"/>
            <w:shd w:val="clear" w:color="auto" w:fill="auto"/>
          </w:tcPr>
          <w:p w:rsidR="003258D1" w:rsidRPr="001A399D" w:rsidRDefault="003258D1" w:rsidP="001A399D">
            <w:pPr>
              <w:spacing w:after="0" w:line="240" w:lineRule="auto"/>
              <w:jc w:val="both"/>
              <w:rPr>
                <w:rFonts w:ascii="Times New Roman" w:hAnsi="Times New Roman"/>
                <w:b/>
                <w:sz w:val="24"/>
                <w:szCs w:val="24"/>
              </w:rPr>
            </w:pPr>
            <w:r w:rsidRPr="001A399D">
              <w:rPr>
                <w:rFonts w:ascii="Times New Roman" w:hAnsi="Times New Roman"/>
                <w:b/>
                <w:sz w:val="24"/>
                <w:szCs w:val="24"/>
              </w:rPr>
              <w:t>A rendészeti alapvizsga és a rendészeti szakvizsga kötelezettség teljesítésével kapcsolatos adatok kezelése</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adatkezelés célja</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A rendészeti alapvizsga és a rendészeti szakvizsga kötelezettség teljesítése érdekében az alap- és szakvizsgára kötelezettek és a jelentkezők nyilvántartása.</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adatkezelés jogalapja</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GDPR 6. cikk (1) bekezdés c) pont, 2015. évi XLII. törvény 130.§, 288/T.§, 288/U.§</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adatok fajtája</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Vizsgára kötelezett / jelentkező személyi állományi tagok neve, beosztása, iskolai végzettsége, elérhetősége.</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érintettek köre</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Vizsgára kötelezett személyi állományi tagok.</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adatok forrása</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Személyügyi nyilvántartás.</w:t>
            </w:r>
          </w:p>
        </w:tc>
      </w:tr>
      <w:tr w:rsidR="003258D1" w:rsidRPr="001A399D" w:rsidTr="001A399D">
        <w:trPr>
          <w:trHeight w:val="454"/>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 továbbított adatok fajtája, címzettje, az adattovábbítás jogalapja</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__</w:t>
            </w:r>
          </w:p>
        </w:tc>
      </w:tr>
      <w:tr w:rsidR="003258D1" w:rsidRPr="001A399D" w:rsidTr="001A399D">
        <w:trPr>
          <w:trHeight w:val="778"/>
        </w:trPr>
        <w:tc>
          <w:tcPr>
            <w:tcW w:w="3828" w:type="dxa"/>
            <w:shd w:val="clear" w:color="auto" w:fill="auto"/>
          </w:tcPr>
          <w:p w:rsidR="003258D1" w:rsidRPr="001A399D" w:rsidRDefault="003258D1" w:rsidP="001A399D">
            <w:pPr>
              <w:spacing w:after="0" w:line="240" w:lineRule="auto"/>
              <w:rPr>
                <w:rFonts w:ascii="Times New Roman" w:hAnsi="Times New Roman"/>
                <w:sz w:val="24"/>
                <w:szCs w:val="24"/>
              </w:rPr>
            </w:pPr>
            <w:r w:rsidRPr="001A399D">
              <w:rPr>
                <w:rFonts w:ascii="Times New Roman" w:hAnsi="Times New Roman"/>
                <w:sz w:val="24"/>
                <w:szCs w:val="24"/>
              </w:rPr>
              <w:t>Az egyes adatfajták törlési határideje</w:t>
            </w:r>
          </w:p>
        </w:tc>
        <w:tc>
          <w:tcPr>
            <w:tcW w:w="6237" w:type="dxa"/>
            <w:shd w:val="clear" w:color="auto" w:fill="auto"/>
          </w:tcPr>
          <w:p w:rsidR="003258D1" w:rsidRPr="001A399D" w:rsidRDefault="003258D1" w:rsidP="001A399D">
            <w:pPr>
              <w:spacing w:after="0" w:line="240" w:lineRule="auto"/>
              <w:jc w:val="both"/>
              <w:rPr>
                <w:rFonts w:ascii="Times New Roman" w:hAnsi="Times New Roman"/>
                <w:sz w:val="24"/>
                <w:szCs w:val="24"/>
              </w:rPr>
            </w:pPr>
            <w:r w:rsidRPr="001A399D">
              <w:rPr>
                <w:rFonts w:ascii="Times New Roman" w:hAnsi="Times New Roman"/>
                <w:sz w:val="24"/>
                <w:szCs w:val="24"/>
              </w:rPr>
              <w:t>A köziratokról, a közlevéltárakról és a magánlevéltári anyag védelméről szóló 1995. évi LXVI. törvény 9. §</w:t>
            </w:r>
            <w:proofErr w:type="spellStart"/>
            <w:r w:rsidRPr="001A399D">
              <w:rPr>
                <w:rFonts w:ascii="Times New Roman" w:hAnsi="Times New Roman"/>
                <w:sz w:val="24"/>
                <w:szCs w:val="24"/>
              </w:rPr>
              <w:t>-ában</w:t>
            </w:r>
            <w:proofErr w:type="spellEnd"/>
            <w:r w:rsidRPr="001A399D">
              <w:rPr>
                <w:rFonts w:ascii="Times New Roman" w:hAnsi="Times New Roman"/>
                <w:sz w:val="24"/>
                <w:szCs w:val="24"/>
              </w:rPr>
              <w:t xml:space="preserve"> foglaltak alapján a büntetés-végrehajtási szervezet Egységes Iratkezelési Szabályzatában foglalt megőrzési idő letelte.</w:t>
            </w:r>
          </w:p>
        </w:tc>
      </w:tr>
      <w:tr w:rsidR="0048494F" w:rsidRPr="001A399D" w:rsidTr="001A399D">
        <w:trPr>
          <w:trHeight w:val="778"/>
        </w:trPr>
        <w:tc>
          <w:tcPr>
            <w:tcW w:w="3828" w:type="dxa"/>
            <w:shd w:val="clear" w:color="auto" w:fill="auto"/>
          </w:tcPr>
          <w:p w:rsidR="0048494F" w:rsidRPr="001A399D" w:rsidRDefault="0048494F" w:rsidP="00947358">
            <w:pPr>
              <w:spacing w:after="0" w:line="240" w:lineRule="auto"/>
              <w:rPr>
                <w:rFonts w:ascii="Times New Roman" w:hAnsi="Times New Roman"/>
                <w:sz w:val="24"/>
                <w:szCs w:val="24"/>
              </w:rPr>
            </w:pPr>
            <w:r w:rsidRPr="001A399D">
              <w:rPr>
                <w:rFonts w:ascii="Times New Roman" w:hAnsi="Times New Roman"/>
                <w:sz w:val="24"/>
                <w:szCs w:val="24"/>
              </w:rPr>
              <w:t>Az adatkezelő neve és címe (székhelye), az adatvédelmi tisztviselő neve és elérhetősége</w:t>
            </w:r>
          </w:p>
        </w:tc>
        <w:tc>
          <w:tcPr>
            <w:tcW w:w="6237" w:type="dxa"/>
            <w:shd w:val="clear" w:color="auto" w:fill="auto"/>
          </w:tcPr>
          <w:p w:rsidR="0048494F" w:rsidRPr="00E60D41" w:rsidRDefault="0048494F" w:rsidP="0048494F">
            <w:pPr>
              <w:spacing w:after="0" w:line="240" w:lineRule="auto"/>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A82E4D" w:rsidRDefault="0048494F" w:rsidP="00947358">
            <w:pPr>
              <w:spacing w:after="0" w:line="240" w:lineRule="auto"/>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Komoróczi</w:t>
            </w:r>
            <w:proofErr w:type="spellEnd"/>
            <w:r>
              <w:rPr>
                <w:rFonts w:ascii="Times New Roman" w:hAnsi="Times New Roman"/>
                <w:sz w:val="24"/>
                <w:szCs w:val="24"/>
              </w:rPr>
              <w:t xml:space="preserve"> Bernadett </w:t>
            </w:r>
          </w:p>
          <w:p w:rsidR="0048494F" w:rsidRPr="00062801" w:rsidRDefault="0048494F" w:rsidP="00947358">
            <w:pPr>
              <w:spacing w:after="0" w:line="240" w:lineRule="auto"/>
              <w:jc w:val="both"/>
              <w:rPr>
                <w:rFonts w:ascii="Times New Roman" w:hAnsi="Times New Roman"/>
                <w:sz w:val="24"/>
                <w:szCs w:val="24"/>
              </w:rPr>
            </w:pPr>
            <w:bookmarkStart w:id="0" w:name="_GoBack"/>
            <w:bookmarkEnd w:id="0"/>
            <w:r w:rsidRPr="00062801">
              <w:rPr>
                <w:rFonts w:ascii="Times New Roman" w:hAnsi="Times New Roman"/>
                <w:sz w:val="24"/>
                <w:szCs w:val="24"/>
              </w:rPr>
              <w:t>Tel.: 06 1 432-5900/</w:t>
            </w:r>
            <w:r>
              <w:rPr>
                <w:rFonts w:ascii="Times New Roman" w:hAnsi="Times New Roman"/>
                <w:sz w:val="24"/>
                <w:szCs w:val="24"/>
              </w:rPr>
              <w:t>102-2329,</w:t>
            </w:r>
            <w:r w:rsidRPr="00062801">
              <w:rPr>
                <w:rFonts w:ascii="Times New Roman" w:hAnsi="Times New Roman"/>
                <w:sz w:val="24"/>
                <w:szCs w:val="24"/>
              </w:rPr>
              <w:t xml:space="preserve"> e-mail: bfb.uk@bv.gov.hu</w:t>
            </w:r>
          </w:p>
        </w:tc>
      </w:tr>
      <w:tr w:rsidR="0048494F" w:rsidRPr="001A399D" w:rsidTr="001A399D">
        <w:trPr>
          <w:trHeight w:val="778"/>
        </w:trPr>
        <w:tc>
          <w:tcPr>
            <w:tcW w:w="3828" w:type="dxa"/>
            <w:shd w:val="clear" w:color="auto" w:fill="auto"/>
          </w:tcPr>
          <w:p w:rsidR="0048494F" w:rsidRPr="001A399D" w:rsidRDefault="0048494F" w:rsidP="001A399D">
            <w:pPr>
              <w:spacing w:after="0" w:line="240" w:lineRule="auto"/>
              <w:rPr>
                <w:rFonts w:ascii="Times New Roman" w:hAnsi="Times New Roman"/>
                <w:sz w:val="24"/>
                <w:szCs w:val="24"/>
              </w:rPr>
            </w:pPr>
            <w:r w:rsidRPr="001A399D">
              <w:rPr>
                <w:rFonts w:ascii="Times New Roman" w:hAnsi="Times New Roman"/>
                <w:sz w:val="24"/>
                <w:szCs w:val="24"/>
              </w:rPr>
              <w:t>A tényleges adatkezelés helye, illetve az adatfeldolgozás helye</w:t>
            </w:r>
          </w:p>
        </w:tc>
        <w:tc>
          <w:tcPr>
            <w:tcW w:w="6237" w:type="dxa"/>
            <w:shd w:val="clear" w:color="auto" w:fill="auto"/>
          </w:tcPr>
          <w:p w:rsidR="0048494F" w:rsidRPr="001A399D" w:rsidRDefault="0048494F" w:rsidP="001A399D">
            <w:pPr>
              <w:spacing w:after="0" w:line="240" w:lineRule="auto"/>
              <w:jc w:val="both"/>
              <w:rPr>
                <w:rFonts w:ascii="Times New Roman" w:hAnsi="Times New Roman"/>
                <w:sz w:val="24"/>
                <w:szCs w:val="24"/>
              </w:rPr>
            </w:pPr>
            <w:r w:rsidRPr="001A399D">
              <w:rPr>
                <w:rFonts w:ascii="Times New Roman" w:hAnsi="Times New Roman"/>
                <w:sz w:val="24"/>
                <w:szCs w:val="24"/>
              </w:rPr>
              <w:t>Nincs eltérés.</w:t>
            </w:r>
          </w:p>
        </w:tc>
      </w:tr>
      <w:tr w:rsidR="0048494F" w:rsidRPr="001A399D" w:rsidTr="001A399D">
        <w:trPr>
          <w:trHeight w:val="778"/>
        </w:trPr>
        <w:tc>
          <w:tcPr>
            <w:tcW w:w="3828" w:type="dxa"/>
            <w:tcBorders>
              <w:bottom w:val="single" w:sz="4" w:space="0" w:color="auto"/>
            </w:tcBorders>
            <w:shd w:val="clear" w:color="auto" w:fill="auto"/>
          </w:tcPr>
          <w:p w:rsidR="0048494F" w:rsidRPr="001A399D" w:rsidRDefault="0048494F" w:rsidP="001A399D">
            <w:pPr>
              <w:spacing w:after="0" w:line="240" w:lineRule="auto"/>
              <w:rPr>
                <w:rFonts w:ascii="Times New Roman" w:hAnsi="Times New Roman"/>
                <w:sz w:val="24"/>
                <w:szCs w:val="24"/>
              </w:rPr>
            </w:pPr>
            <w:r w:rsidRPr="001A399D">
              <w:rPr>
                <w:rFonts w:ascii="Times New Roman" w:hAnsi="Times New Roman"/>
                <w:sz w:val="24"/>
                <w:szCs w:val="24"/>
              </w:rPr>
              <w:t xml:space="preserve">Az adatkezelés jogszerűsége és a személyes adatok megfelelő szintű biztonsága érdekében végrehajtott </w:t>
            </w:r>
          </w:p>
          <w:p w:rsidR="0048494F" w:rsidRPr="001A399D" w:rsidRDefault="0048494F" w:rsidP="00947358">
            <w:pPr>
              <w:spacing w:after="0" w:line="240" w:lineRule="auto"/>
              <w:rPr>
                <w:rFonts w:ascii="Times New Roman" w:hAnsi="Times New Roman"/>
                <w:sz w:val="24"/>
                <w:szCs w:val="24"/>
              </w:rPr>
            </w:pPr>
            <w:r w:rsidRPr="001A399D">
              <w:rPr>
                <w:rFonts w:ascii="Times New Roman" w:hAnsi="Times New Roman"/>
                <w:sz w:val="24"/>
                <w:szCs w:val="24"/>
              </w:rPr>
              <w:t>műszaki és szervezési biztonsági intézkedések általános leírása</w:t>
            </w:r>
          </w:p>
        </w:tc>
        <w:tc>
          <w:tcPr>
            <w:tcW w:w="6237" w:type="dxa"/>
            <w:tcBorders>
              <w:bottom w:val="single" w:sz="4" w:space="0" w:color="auto"/>
            </w:tcBorders>
            <w:shd w:val="clear" w:color="auto" w:fill="auto"/>
          </w:tcPr>
          <w:p w:rsidR="0048494F" w:rsidRPr="001A399D" w:rsidRDefault="0048494F" w:rsidP="001A399D">
            <w:pPr>
              <w:spacing w:after="0" w:line="240" w:lineRule="auto"/>
              <w:jc w:val="both"/>
              <w:rPr>
                <w:rFonts w:ascii="Times New Roman" w:hAnsi="Times New Roman"/>
                <w:sz w:val="24"/>
                <w:szCs w:val="24"/>
              </w:rPr>
            </w:pPr>
            <w:r w:rsidRPr="001A399D">
              <w:rPr>
                <w:rFonts w:ascii="Times New Roman" w:hAnsi="Times New Roman"/>
                <w:sz w:val="24"/>
                <w:szCs w:val="24"/>
              </w:rPr>
              <w:t>A büntetés-végrehajtási szervezet Adatvédelmi 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b/>
          <w:sz w:val="24"/>
          <w:szCs w:val="24"/>
        </w:rPr>
      </w:pPr>
    </w:p>
    <w:p w:rsidR="00947358" w:rsidRDefault="00947358" w:rsidP="0094735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947358" w:rsidRPr="009D480E" w:rsidRDefault="00947358" w:rsidP="00947358">
      <w:pPr>
        <w:spacing w:after="0" w:line="240" w:lineRule="auto"/>
        <w:jc w:val="both"/>
        <w:rPr>
          <w:rFonts w:ascii="Times New Roman" w:hAnsi="Times New Roman"/>
          <w:sz w:val="24"/>
          <w:szCs w:val="24"/>
        </w:rPr>
      </w:pPr>
    </w:p>
    <w:p w:rsidR="00947358" w:rsidRDefault="00947358" w:rsidP="0094735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947358" w:rsidRPr="009D480E" w:rsidRDefault="00947358" w:rsidP="00947358">
      <w:pPr>
        <w:spacing w:after="0" w:line="240" w:lineRule="auto"/>
        <w:jc w:val="both"/>
        <w:rPr>
          <w:rFonts w:ascii="Times New Roman" w:hAnsi="Times New Roman"/>
          <w:sz w:val="24"/>
          <w:szCs w:val="24"/>
        </w:rPr>
      </w:pPr>
    </w:p>
    <w:p w:rsidR="00947358" w:rsidRPr="009D480E" w:rsidRDefault="00947358" w:rsidP="0094735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947358" w:rsidRPr="00A4702D" w:rsidRDefault="00947358" w:rsidP="0094735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947358"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p>
    <w:p w:rsidR="00947358" w:rsidRDefault="00947358" w:rsidP="0094735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47358" w:rsidRPr="009D480E" w:rsidRDefault="00947358" w:rsidP="00947358">
      <w:pPr>
        <w:spacing w:after="0" w:line="240" w:lineRule="auto"/>
        <w:jc w:val="both"/>
        <w:rPr>
          <w:rFonts w:ascii="Times New Roman" w:hAnsi="Times New Roman"/>
          <w:sz w:val="24"/>
          <w:szCs w:val="24"/>
        </w:rPr>
      </w:pPr>
    </w:p>
    <w:p w:rsidR="00947358" w:rsidRPr="009D480E" w:rsidRDefault="00947358" w:rsidP="0094735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947358" w:rsidRPr="009D480E"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947358" w:rsidRDefault="00947358" w:rsidP="0094735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947358" w:rsidRPr="009D480E"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47358" w:rsidRPr="00291E89" w:rsidRDefault="00947358" w:rsidP="0094735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947358" w:rsidRPr="00291E89" w:rsidRDefault="00947358" w:rsidP="0094735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947358" w:rsidRPr="00291E89" w:rsidRDefault="00947358" w:rsidP="0094735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947358" w:rsidRPr="00291E89" w:rsidRDefault="00947358" w:rsidP="0094735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947358" w:rsidRPr="00291E89" w:rsidRDefault="00947358" w:rsidP="0094735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947358" w:rsidRPr="00291E89" w:rsidRDefault="00947358" w:rsidP="0094735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947358" w:rsidRPr="00291E89" w:rsidRDefault="00947358" w:rsidP="0094735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947358" w:rsidRPr="00291E89" w:rsidRDefault="00947358" w:rsidP="0094735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947358" w:rsidRPr="00291E89" w:rsidRDefault="00947358" w:rsidP="0094735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947358" w:rsidRPr="00291E89" w:rsidRDefault="00947358" w:rsidP="00947358">
      <w:pPr>
        <w:spacing w:after="0" w:line="240" w:lineRule="auto"/>
        <w:ind w:left="426" w:hanging="284"/>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947358" w:rsidRPr="00291E89" w:rsidRDefault="00947358" w:rsidP="00947358">
      <w:pPr>
        <w:spacing w:after="0" w:line="240" w:lineRule="auto"/>
        <w:jc w:val="both"/>
        <w:rPr>
          <w:rFonts w:ascii="Times New Roman" w:hAnsi="Times New Roman"/>
          <w:sz w:val="24"/>
          <w:szCs w:val="24"/>
        </w:rPr>
      </w:pPr>
    </w:p>
    <w:p w:rsidR="00947358" w:rsidRPr="00291E89"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947358" w:rsidRPr="00291E89" w:rsidRDefault="00947358" w:rsidP="00947358">
      <w:pPr>
        <w:spacing w:after="0" w:line="240" w:lineRule="auto"/>
        <w:jc w:val="both"/>
        <w:rPr>
          <w:rFonts w:ascii="Times New Roman" w:hAnsi="Times New Roman"/>
          <w:sz w:val="24"/>
          <w:szCs w:val="24"/>
        </w:rPr>
      </w:pPr>
    </w:p>
    <w:p w:rsidR="00947358" w:rsidRDefault="00947358" w:rsidP="0094735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947358">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842" w:rsidRDefault="00B63842" w:rsidP="00220339">
      <w:pPr>
        <w:spacing w:after="0" w:line="240" w:lineRule="auto"/>
      </w:pPr>
      <w:r>
        <w:separator/>
      </w:r>
    </w:p>
  </w:endnote>
  <w:endnote w:type="continuationSeparator" w:id="0">
    <w:p w:rsidR="00B63842" w:rsidRDefault="00B63842"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Pr="00220339" w:rsidRDefault="00220339">
    <w:pPr>
      <w:pStyle w:val="llb"/>
      <w:jc w:val="right"/>
      <w:rPr>
        <w:rFonts w:ascii="Times New Roman" w:hAnsi="Times New Roman"/>
      </w:rPr>
    </w:pPr>
    <w:r w:rsidRPr="00220339">
      <w:rPr>
        <w:rFonts w:ascii="Times New Roman" w:hAnsi="Times New Roman"/>
      </w:rPr>
      <w:fldChar w:fldCharType="begin"/>
    </w:r>
    <w:r w:rsidRPr="00220339">
      <w:rPr>
        <w:rFonts w:ascii="Times New Roman" w:hAnsi="Times New Roman"/>
      </w:rPr>
      <w:instrText>PAGE   \* MERGEFORMAT</w:instrText>
    </w:r>
    <w:r w:rsidRPr="00220339">
      <w:rPr>
        <w:rFonts w:ascii="Times New Roman" w:hAnsi="Times New Roman"/>
      </w:rPr>
      <w:fldChar w:fldCharType="separate"/>
    </w:r>
    <w:r w:rsidR="00A82E4D">
      <w:rPr>
        <w:rFonts w:ascii="Times New Roman" w:hAnsi="Times New Roman"/>
        <w:noProof/>
      </w:rPr>
      <w:t>2</w:t>
    </w:r>
    <w:r w:rsidRPr="00220339">
      <w:rPr>
        <w:rFonts w:ascii="Times New Roman" w:hAnsi="Times New Roman"/>
      </w:rPr>
      <w:fldChar w:fldCharType="end"/>
    </w:r>
  </w:p>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sz w:val="18"/>
        <w:szCs w:val="19"/>
      </w:rPr>
    </w:pPr>
    <w:r>
      <w:rPr>
        <w:rFonts w:ascii="Times New Roman" w:hAnsi="Times New Roman"/>
        <w:sz w:val="18"/>
        <w:szCs w:val="19"/>
      </w:rPr>
      <w:t>1108 Budapest, Kozma u. 13</w:t>
    </w:r>
    <w:r w:rsidRPr="008F1075">
      <w:rPr>
        <w:rFonts w:ascii="Times New Roman" w:hAnsi="Times New Roman"/>
        <w:sz w:val="18"/>
        <w:szCs w:val="19"/>
      </w:rPr>
      <w:t xml:space="preserve">. </w:t>
    </w:r>
    <w:r>
      <w:rPr>
        <w:rFonts w:ascii="Times New Roman" w:hAnsi="Times New Roman"/>
        <w:sz w:val="18"/>
        <w:szCs w:val="19"/>
      </w:rPr>
      <w:t>t</w:t>
    </w:r>
    <w:r w:rsidRPr="008F1075">
      <w:rPr>
        <w:rFonts w:ascii="Times New Roman" w:hAnsi="Times New Roman"/>
        <w:sz w:val="18"/>
        <w:szCs w:val="19"/>
      </w:rPr>
      <w:t>elefon: (+36 1)</w:t>
    </w:r>
    <w:r>
      <w:rPr>
        <w:rFonts w:ascii="Times New Roman" w:hAnsi="Times New Roman"/>
        <w:sz w:val="18"/>
        <w:szCs w:val="19"/>
      </w:rPr>
      <w:t xml:space="preserve"> 432-5900 fax: (+36 1) 262-8444 e</w:t>
    </w:r>
    <w:r w:rsidRPr="008F1075">
      <w:rPr>
        <w:rFonts w:ascii="Times New Roman" w:hAnsi="Times New Roman"/>
        <w:sz w:val="18"/>
        <w:szCs w:val="19"/>
      </w:rPr>
      <w:t xml:space="preserve">-mail: </w:t>
    </w:r>
    <w:hyperlink r:id="rId1" w:history="1">
      <w:r w:rsidRPr="00B303AC">
        <w:rPr>
          <w:rStyle w:val="Hiperhivatkozs"/>
          <w:rFonts w:ascii="Times New Roman" w:hAnsi="Times New Roman"/>
          <w:sz w:val="18"/>
          <w:szCs w:val="19"/>
        </w:rPr>
        <w:t>bfb.uk@bv.gov.hu</w:t>
      </w:r>
    </w:hyperlink>
  </w:p>
  <w:p w:rsidR="00220339" w:rsidRPr="008F1075" w:rsidRDefault="00220339" w:rsidP="00220339">
    <w:pPr>
      <w:spacing w:after="0"/>
      <w:jc w:val="center"/>
      <w:rPr>
        <w:rFonts w:ascii="Times New Roman" w:hAnsi="Times New Roman"/>
        <w:sz w:val="18"/>
        <w:szCs w:val="19"/>
      </w:rPr>
    </w:pPr>
    <w:r>
      <w:rPr>
        <w:rFonts w:ascii="Times New Roman" w:hAnsi="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842" w:rsidRDefault="00B63842" w:rsidP="00220339">
      <w:pPr>
        <w:spacing w:after="0" w:line="240" w:lineRule="auto"/>
      </w:pPr>
      <w:r>
        <w:separator/>
      </w:r>
    </w:p>
  </w:footnote>
  <w:footnote w:type="continuationSeparator" w:id="0">
    <w:p w:rsidR="00B63842" w:rsidRDefault="00B63842"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C92D51" w:rsidP="00220339">
    <w:pPr>
      <w:pStyle w:val="lfej"/>
      <w:jc w:val="center"/>
      <w:rPr>
        <w:rFonts w:ascii="Times New Roman" w:hAnsi="Times New Roman"/>
        <w:noProof/>
        <w:sz w:val="24"/>
        <w:lang w:eastAsia="hu-HU"/>
      </w:rPr>
    </w:pPr>
    <w:r>
      <w:rPr>
        <w:rFonts w:ascii="Times New Roman" w:hAnsi="Times New Roman"/>
        <w:noProof/>
        <w:sz w:val="24"/>
        <w:lang w:eastAsia="hu-HU"/>
      </w:rPr>
      <w:drawing>
        <wp:inline distT="0" distB="0" distL="0" distR="0">
          <wp:extent cx="457200" cy="8382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838200"/>
                  </a:xfrm>
                  <a:prstGeom prst="rect">
                    <a:avLst/>
                  </a:prstGeom>
                  <a:noFill/>
                  <a:ln>
                    <a:noFill/>
                  </a:ln>
                </pic:spPr>
              </pic:pic>
            </a:graphicData>
          </a:graphic>
        </wp:inline>
      </w:drawing>
    </w:r>
  </w:p>
  <w:p w:rsidR="0018574A" w:rsidRDefault="0018574A" w:rsidP="00220339">
    <w:pPr>
      <w:pStyle w:val="lfej"/>
      <w:jc w:val="center"/>
      <w:rPr>
        <w:rFonts w:ascii="Times New Roman" w:hAnsi="Times New Roman"/>
        <w:sz w:val="24"/>
      </w:rPr>
    </w:pPr>
    <w:r>
      <w:rPr>
        <w:rFonts w:ascii="Times New Roman" w:hAnsi="Times New Roman"/>
        <w:noProof/>
        <w:sz w:val="24"/>
        <w:lang w:eastAsia="hu-HU"/>
      </w:rPr>
      <w:t xml:space="preserve">II. AGGLOMERÁCIÓS KÖZPONT </w:t>
    </w:r>
  </w:p>
  <w:p w:rsidR="00220339" w:rsidRDefault="00220339" w:rsidP="00220339">
    <w:pPr>
      <w:pStyle w:val="lfej"/>
      <w:jc w:val="center"/>
      <w:rPr>
        <w:rFonts w:ascii="Times New Roman" w:hAnsi="Times New Roman"/>
      </w:rPr>
    </w:pPr>
    <w:r w:rsidRPr="008F1075">
      <w:rPr>
        <w:rFonts w:ascii="Times New Roman" w:hAnsi="Times New Roman"/>
        <w:sz w:val="24"/>
      </w:rPr>
      <w:t>B</w:t>
    </w:r>
    <w:r>
      <w:rPr>
        <w:rFonts w:ascii="Times New Roman" w:hAnsi="Times New Roman"/>
      </w:rPr>
      <w:t xml:space="preserve">UDAPESTI </w:t>
    </w:r>
    <w:r>
      <w:rPr>
        <w:rFonts w:ascii="Times New Roman" w:hAnsi="Times New Roman"/>
        <w:sz w:val="24"/>
      </w:rPr>
      <w:t>F</w:t>
    </w:r>
    <w:r>
      <w:rPr>
        <w:rFonts w:ascii="Times New Roman" w:hAnsi="Times New Roman"/>
      </w:rPr>
      <w:t xml:space="preserve">EGYHÁZ </w:t>
    </w:r>
    <w:proofErr w:type="gramStart"/>
    <w:r>
      <w:rPr>
        <w:rFonts w:ascii="Times New Roman" w:hAnsi="Times New Roman"/>
      </w:rPr>
      <w:t>ÉS</w:t>
    </w:r>
    <w:proofErr w:type="gramEnd"/>
    <w:r>
      <w:rPr>
        <w:rFonts w:ascii="Times New Roman" w:hAnsi="Times New Roman"/>
      </w:rPr>
      <w:t xml:space="preserve"> </w:t>
    </w:r>
    <w:r>
      <w:rPr>
        <w:rFonts w:ascii="Times New Roman" w:hAnsi="Times New Roman"/>
        <w:sz w:val="24"/>
      </w:rPr>
      <w:t>B</w:t>
    </w:r>
    <w:r>
      <w:rPr>
        <w:rFonts w:ascii="Times New Roman" w:hAnsi="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8574A"/>
    <w:rsid w:val="001A399D"/>
    <w:rsid w:val="001B2BCA"/>
    <w:rsid w:val="001F5E8C"/>
    <w:rsid w:val="00220339"/>
    <w:rsid w:val="003258D1"/>
    <w:rsid w:val="00334FF2"/>
    <w:rsid w:val="003575C9"/>
    <w:rsid w:val="00380E03"/>
    <w:rsid w:val="003A5872"/>
    <w:rsid w:val="0048494F"/>
    <w:rsid w:val="00631483"/>
    <w:rsid w:val="006941E1"/>
    <w:rsid w:val="00735F01"/>
    <w:rsid w:val="007F6F4D"/>
    <w:rsid w:val="00827CAC"/>
    <w:rsid w:val="00847CAA"/>
    <w:rsid w:val="008C2057"/>
    <w:rsid w:val="009249B7"/>
    <w:rsid w:val="00947358"/>
    <w:rsid w:val="00A82E4D"/>
    <w:rsid w:val="00A94B03"/>
    <w:rsid w:val="00B57363"/>
    <w:rsid w:val="00B63842"/>
    <w:rsid w:val="00BE65B7"/>
    <w:rsid w:val="00C560D7"/>
    <w:rsid w:val="00C70949"/>
    <w:rsid w:val="00C92D51"/>
    <w:rsid w:val="00CE559D"/>
    <w:rsid w:val="00D4077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20339"/>
    <w:rPr>
      <w:rFonts w:ascii="Tahoma" w:hAnsi="Tahoma" w:cs="Tahoma"/>
      <w:sz w:val="16"/>
      <w:szCs w:val="16"/>
    </w:rPr>
  </w:style>
  <w:style w:type="character" w:styleId="Hiperhivatkozs">
    <w:name w:val="Hyperlink"/>
    <w:uiPriority w:val="99"/>
    <w:unhideWhenUsed/>
    <w:rsid w:val="00220339"/>
    <w:rPr>
      <w:color w:val="0000FF"/>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473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20339"/>
    <w:rPr>
      <w:rFonts w:ascii="Tahoma" w:hAnsi="Tahoma" w:cs="Tahoma"/>
      <w:sz w:val="16"/>
      <w:szCs w:val="16"/>
    </w:rPr>
  </w:style>
  <w:style w:type="character" w:styleId="Hiperhivatkozs">
    <w:name w:val="Hyperlink"/>
    <w:uiPriority w:val="99"/>
    <w:unhideWhenUsed/>
    <w:rsid w:val="00220339"/>
    <w:rPr>
      <w:color w:val="0000FF"/>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47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1071</Words>
  <Characters>7393</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8448</CharactersWithSpaces>
  <SharedDoc>false</SharedDoc>
  <HLinks>
    <vt:vector size="18" baseType="variant">
      <vt:variant>
        <vt:i4>7798888</vt:i4>
      </vt:variant>
      <vt:variant>
        <vt:i4>3</vt:i4>
      </vt:variant>
      <vt:variant>
        <vt:i4>0</vt:i4>
      </vt:variant>
      <vt:variant>
        <vt:i4>5</vt:i4>
      </vt:variant>
      <vt:variant>
        <vt:lpwstr>http://naih.hu/</vt:lpwstr>
      </vt:variant>
      <vt:variant>
        <vt:lpwstr/>
      </vt:variant>
      <vt:variant>
        <vt:i4>3407888</vt:i4>
      </vt:variant>
      <vt:variant>
        <vt:i4>0</vt:i4>
      </vt:variant>
      <vt:variant>
        <vt:i4>0</vt:i4>
      </vt:variant>
      <vt:variant>
        <vt:i4>5</vt:i4>
      </vt:variant>
      <vt:variant>
        <vt:lpwstr>mailto:ugyfelszolgalat@naih.hu</vt:lpwstr>
      </vt:variant>
      <vt:variant>
        <vt:lpwstr/>
      </vt:variant>
      <vt:variant>
        <vt:i4>5767268</vt:i4>
      </vt:variant>
      <vt:variant>
        <vt:i4>3</vt:i4>
      </vt:variant>
      <vt:variant>
        <vt:i4>0</vt:i4>
      </vt:variant>
      <vt:variant>
        <vt:i4>5</vt:i4>
      </vt:variant>
      <vt:variant>
        <vt:lpwstr>mailto:bfb.uk@bv.gov.hu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2025-10-10T09:01:00Z</dcterms:created>
  <dcterms:modified xsi:type="dcterms:W3CDTF">2025-10-10T09:02:00Z</dcterms:modified>
</cp:coreProperties>
</file>