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9C54CF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443BC0" w:rsidRPr="006F12F2" w:rsidRDefault="00443BC0" w:rsidP="00C76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2CE0">
              <w:rPr>
                <w:rFonts w:ascii="Times New Roman" w:hAnsi="Times New Roman" w:cs="Times New Roman"/>
                <w:sz w:val="20"/>
                <w:szCs w:val="20"/>
              </w:rPr>
              <w:t>Személyügyi alapnyilvántartás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443BC0" w:rsidRPr="009C54CF" w:rsidRDefault="00443BC0" w:rsidP="00C768BE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C54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munkáltatói intézkedések és jognyilatkozatok előkészítésének és meghozatalának biztosítása,</w:t>
            </w:r>
          </w:p>
          <w:p w:rsidR="00443BC0" w:rsidRPr="009C54CF" w:rsidRDefault="00443BC0" w:rsidP="00C768BE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C54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bookmarkStart w:id="0" w:name="_GoBack"/>
            <w:bookmarkEnd w:id="0"/>
            <w:r w:rsidRPr="009C54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szolgálati viszonnyal összefüggő jogok gyakorolhatóságának és kötelezettségek teljesíthetőségének biztosítása,</w:t>
            </w:r>
          </w:p>
          <w:p w:rsidR="00443BC0" w:rsidRDefault="00443BC0" w:rsidP="00C768BE">
            <w:pPr>
              <w:spacing w:after="20"/>
              <w:ind w:firstLine="180"/>
              <w:jc w:val="both"/>
              <w:rPr>
                <w:rFonts w:ascii="Times" w:hAnsi="Times" w:cs="Times"/>
                <w:bCs/>
              </w:rPr>
            </w:pPr>
            <w:r w:rsidRPr="009C54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közeli hozzátartozót megillető társadalombiztosítási, szociális és kegyeleti gondoskodás megállapításának és folyósításának biztosítása </w:t>
            </w:r>
            <w:r w:rsidRPr="009C54CF">
              <w:rPr>
                <w:rFonts w:ascii="Times New Roman" w:hAnsi="Times New Roman" w:cs="Times New Roman"/>
                <w:bCs/>
                <w:sz w:val="20"/>
                <w:szCs w:val="20"/>
              </w:rPr>
              <w:t>a rendvédelmi feladatokat ellátó</w:t>
            </w:r>
            <w:r w:rsidRPr="005D1C90">
              <w:rPr>
                <w:rFonts w:ascii="Times" w:hAnsi="Times" w:cs="Times"/>
                <w:bCs/>
              </w:rPr>
              <w:t xml:space="preserve"> szervek hivatásos állomá</w:t>
            </w:r>
            <w:bookmarkStart w:id="1" w:name="foot_1_place"/>
            <w:r>
              <w:rPr>
                <w:rFonts w:ascii="Times" w:hAnsi="Times" w:cs="Times"/>
                <w:bCs/>
              </w:rPr>
              <w:t>nyának szolgálati jogviszonyáról</w:t>
            </w:r>
            <w:bookmarkEnd w:id="1"/>
            <w:r>
              <w:rPr>
                <w:rFonts w:ascii="Times" w:hAnsi="Times" w:cs="Times"/>
                <w:bCs/>
              </w:rPr>
              <w:t xml:space="preserve"> szóló 2015. évi XLII. tv. alapján;</w:t>
            </w:r>
          </w:p>
          <w:p w:rsidR="00443BC0" w:rsidRPr="00EC286C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443BC0" w:rsidRPr="009E1E38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GDPR 6. cikk (1) bekezdés a) pont, 2015. évi XLII.</w:t>
            </w:r>
          </w:p>
          <w:p w:rsidR="00443BC0" w:rsidRPr="008F0216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törvény 272. §, 289/W. §, 2012. évi I. törvény 10.,11.,</w:t>
            </w:r>
            <w:proofErr w:type="spellStart"/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/A.§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443BC0" w:rsidRPr="008F0216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 évi XLII. törvény 1. és 13. melléklete szerinti adatkör.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443BC0" w:rsidRPr="008F0216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Hivatásos és rendvédelmi igazgatási alkalmazotti szolgálati  jogviszonyban állók, munkavállalók és közeli hozzátartozóik.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443BC0" w:rsidRPr="008F0216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Érintettek nyilatkozatai.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443BC0" w:rsidRPr="009E1E38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1. és 13. melléklete,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443BC0" w:rsidRPr="009E1E38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275.§ szerinti személyi kör,</w:t>
            </w:r>
          </w:p>
        </w:tc>
      </w:tr>
      <w:tr w:rsidR="00443BC0" w:rsidTr="000A33E6">
        <w:trPr>
          <w:trHeight w:val="454"/>
        </w:trPr>
        <w:tc>
          <w:tcPr>
            <w:tcW w:w="4606" w:type="dxa"/>
          </w:tcPr>
          <w:p w:rsidR="00443BC0" w:rsidRPr="003A1469" w:rsidRDefault="00443BC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443BC0" w:rsidRPr="009E1E38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275. §.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C47AD0" w:rsidRPr="00EC286C" w:rsidRDefault="00443BC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BC0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443BC0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443BC0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C47AD0" w:rsidRPr="003A1469" w:rsidRDefault="00C47AD0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7AD0" w:rsidTr="000A33E6">
        <w:trPr>
          <w:trHeight w:val="567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C47AD0" w:rsidTr="000A33E6">
        <w:trPr>
          <w:trHeight w:val="567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C47AD0" w:rsidRPr="00D45172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által kezelt személyes adatok pontosságát, helytállóságát vagy hiánytalanságát, és a kezelt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54C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2025-03-12T20:25:00Z</dcterms:created>
  <dcterms:modified xsi:type="dcterms:W3CDTF">2025-05-08T07:40:00Z</dcterms:modified>
</cp:coreProperties>
</file>