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DA772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BE61F9" w:rsidRDefault="00ED4FA5" w:rsidP="00BE61F9">
            <w:pPr>
              <w:rPr>
                <w:rFonts w:ascii="Times New Roman" w:hAnsi="Times New Roman" w:cs="Times New Roman"/>
                <w:sz w:val="20"/>
              </w:rPr>
            </w:pPr>
            <w:r w:rsidRPr="00BE61F9">
              <w:rPr>
                <w:rFonts w:ascii="Times New Roman" w:hAnsi="Times New Roman" w:cs="Times New Roman"/>
                <w:sz w:val="20"/>
              </w:rPr>
              <w:t>3052</w:t>
            </w:r>
            <w:r w:rsidR="00D171DD" w:rsidRPr="00BE61F9">
              <w:rPr>
                <w:rFonts w:ascii="Times New Roman" w:hAnsi="Times New Roman" w:cs="Times New Roman"/>
                <w:sz w:val="20"/>
              </w:rPr>
              <w:t>7</w:t>
            </w:r>
            <w:r w:rsidRPr="00BE61F9">
              <w:rPr>
                <w:rFonts w:ascii="Times New Roman" w:hAnsi="Times New Roman" w:cs="Times New Roman"/>
                <w:sz w:val="20"/>
              </w:rPr>
              <w:t>-13/</w:t>
            </w:r>
            <w:r w:rsidR="00BE61F9" w:rsidRPr="00BE61F9">
              <w:rPr>
                <w:rFonts w:ascii="Times New Roman" w:hAnsi="Times New Roman" w:cs="Times New Roman"/>
                <w:sz w:val="20"/>
              </w:rPr>
              <w:t>53</w:t>
            </w:r>
            <w:r w:rsidRPr="00BE61F9">
              <w:rPr>
                <w:rFonts w:ascii="Times New Roman" w:hAnsi="Times New Roman" w:cs="Times New Roman"/>
                <w:sz w:val="20"/>
              </w:rPr>
              <w:t>/202</w:t>
            </w:r>
            <w:r w:rsidR="00BE61F9" w:rsidRPr="00BE61F9">
              <w:rPr>
                <w:rFonts w:ascii="Times New Roman" w:hAnsi="Times New Roman" w:cs="Times New Roman"/>
                <w:sz w:val="20"/>
              </w:rPr>
              <w:t>4</w:t>
            </w:r>
            <w:r w:rsidRPr="00BE61F9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074DD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Végrehajtási eljárások lefolytatása</w:t>
            </w:r>
            <w:r w:rsidR="00917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074DDE" w:rsidRPr="00074DDE" w:rsidRDefault="00074DDE" w:rsidP="0007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 xml:space="preserve">A személyi állományi tagokkal, fogvatartottakkal </w:t>
            </w:r>
          </w:p>
          <w:p w:rsidR="00074DDE" w:rsidRPr="00074DDE" w:rsidRDefault="00074DDE" w:rsidP="0007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 xml:space="preserve">szemben fennálló követelések végrehajtó útján történő </w:t>
            </w:r>
          </w:p>
          <w:p w:rsidR="003F60C6" w:rsidRPr="009046C6" w:rsidRDefault="00074DDE" w:rsidP="0007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érvényesítése</w:t>
            </w:r>
            <w:r w:rsidR="00917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074DDE" w:rsidP="0007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1994.  évi  LIII. </w:t>
            </w: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törvény; 2017. évi CLIII. törvény</w:t>
            </w:r>
            <w:r w:rsidR="00917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074DDE" w:rsidP="00074DD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 xml:space="preserve">A  végrehajtási  eljárásban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érintett  adósok  természetes </w:t>
            </w: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személyazonosító adatai</w:t>
            </w:r>
            <w:r w:rsidR="00917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074DDE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A végrehajtási eljárásban érintett adósok</w:t>
            </w:r>
            <w:r w:rsidR="00917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074DDE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Fizetési kötelezettséget megállapító irat</w:t>
            </w:r>
            <w:r w:rsidR="00917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074DDE" w:rsidP="00D171D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 xml:space="preserve">A végrehajtási eljárásban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érintett adósok természetes </w:t>
            </w: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személyazonosító adatai</w:t>
            </w:r>
            <w:r w:rsidR="00D26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074DDE" w:rsidP="00D171D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nálló bírósági végrehaj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tó,  törvényszéki  végrehajtó, </w:t>
            </w: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Nemzeti Adó- és Vámhivatal</w:t>
            </w:r>
            <w:r w:rsidR="00D26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074DDE" w:rsidRPr="00074DDE" w:rsidRDefault="00074DDE" w:rsidP="0007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 xml:space="preserve">1994. évi LIII. törvény 11. § (2) </w:t>
            </w:r>
            <w:proofErr w:type="spellStart"/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bek</w:t>
            </w:r>
            <w:proofErr w:type="spellEnd"/>
            <w:r w:rsidRPr="00074DDE">
              <w:rPr>
                <w:rFonts w:ascii="Times New Roman" w:hAnsi="Times New Roman" w:cs="Times New Roman"/>
                <w:sz w:val="20"/>
                <w:szCs w:val="20"/>
              </w:rPr>
              <w:t xml:space="preserve">., 12/A. § (1) </w:t>
            </w:r>
            <w:proofErr w:type="spellStart"/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bek</w:t>
            </w:r>
            <w:proofErr w:type="spellEnd"/>
            <w:r w:rsidRPr="00074DD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3F60C6" w:rsidRPr="003A1469" w:rsidRDefault="00074DDE" w:rsidP="0007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255. §; 2017. évi CLIII. törvény 131/A. §</w:t>
            </w:r>
            <w:r w:rsidR="00D26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D171DD">
              <w:rPr>
                <w:rFonts w:ascii="Times New Roman" w:hAnsi="Times New Roman" w:cs="Times New Roman"/>
                <w:sz w:val="20"/>
                <w:szCs w:val="20"/>
              </w:rPr>
              <w:t>ó 1995. évi LXVI. törvény 9. §</w:t>
            </w:r>
            <w:proofErr w:type="spellStart"/>
            <w:r w:rsidR="00D171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 w:rsidR="00D26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D171DD" w:rsidRPr="007B1A01" w:rsidRDefault="00D171DD" w:rsidP="00D1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</w:t>
            </w:r>
            <w:r w:rsidR="00D249DB">
              <w:rPr>
                <w:rFonts w:ascii="Times New Roman" w:hAnsi="Times New Roman" w:cs="Times New Roman"/>
                <w:sz w:val="20"/>
                <w:szCs w:val="20"/>
              </w:rPr>
              <w:t>Várm</w:t>
            </w: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D171DD" w:rsidRPr="007B1A01" w:rsidRDefault="00D171DD" w:rsidP="00D171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D171DD" w:rsidRPr="007B1A01" w:rsidRDefault="00D249DB" w:rsidP="00D171DD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Pusztahelyiné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Szalkai Tünde Carmen</w:t>
            </w:r>
            <w:r w:rsidR="00F56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71DD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D171DD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D171DD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D171DD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D171DD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D171DD" w:rsidP="00D171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  <w:r w:rsidR="00D26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D171D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</w:t>
            </w:r>
            <w:r w:rsidR="00D249D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DA7723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DA7723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7723" w:rsidRDefault="00DA772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7723" w:rsidRPr="005437E7" w:rsidRDefault="00DA772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DA7723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7C" w:rsidRDefault="0032797C" w:rsidP="00DA7723">
      <w:pPr>
        <w:spacing w:after="0" w:line="240" w:lineRule="auto"/>
      </w:pPr>
      <w:r>
        <w:separator/>
      </w:r>
    </w:p>
  </w:endnote>
  <w:endnote w:type="continuationSeparator" w:id="0">
    <w:p w:rsidR="0032797C" w:rsidRDefault="0032797C" w:rsidP="00DA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213945"/>
      <w:docPartObj>
        <w:docPartGallery w:val="Page Numbers (Bottom of Page)"/>
        <w:docPartUnique/>
      </w:docPartObj>
    </w:sdtPr>
    <w:sdtEndPr/>
    <w:sdtContent>
      <w:p w:rsidR="00DA7723" w:rsidRDefault="00B9749A">
        <w:pPr>
          <w:pStyle w:val="llb"/>
          <w:jc w:val="right"/>
        </w:pPr>
        <w:r>
          <w:fldChar w:fldCharType="begin"/>
        </w:r>
        <w:r w:rsidR="00DA7723">
          <w:instrText>PAGE   \* MERGEFORMAT</w:instrText>
        </w:r>
        <w:r>
          <w:fldChar w:fldCharType="separate"/>
        </w:r>
        <w:r w:rsidR="00BE61F9">
          <w:rPr>
            <w:noProof/>
          </w:rPr>
          <w:t>1</w:t>
        </w:r>
        <w:r>
          <w:fldChar w:fldCharType="end"/>
        </w:r>
      </w:p>
    </w:sdtContent>
  </w:sdt>
  <w:p w:rsidR="00DA7723" w:rsidRDefault="00DA772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7C" w:rsidRDefault="0032797C" w:rsidP="00DA7723">
      <w:pPr>
        <w:spacing w:after="0" w:line="240" w:lineRule="auto"/>
      </w:pPr>
      <w:r>
        <w:separator/>
      </w:r>
    </w:p>
  </w:footnote>
  <w:footnote w:type="continuationSeparator" w:id="0">
    <w:p w:rsidR="0032797C" w:rsidRDefault="0032797C" w:rsidP="00DA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74DDE"/>
    <w:rsid w:val="000947E2"/>
    <w:rsid w:val="000B3A67"/>
    <w:rsid w:val="00136334"/>
    <w:rsid w:val="00160A8C"/>
    <w:rsid w:val="00191152"/>
    <w:rsid w:val="001E72DE"/>
    <w:rsid w:val="00233EAD"/>
    <w:rsid w:val="002A2948"/>
    <w:rsid w:val="002B1B11"/>
    <w:rsid w:val="0032797C"/>
    <w:rsid w:val="00373B36"/>
    <w:rsid w:val="003841D0"/>
    <w:rsid w:val="003B3FEF"/>
    <w:rsid w:val="003F60C6"/>
    <w:rsid w:val="004E6C27"/>
    <w:rsid w:val="0052541C"/>
    <w:rsid w:val="005437E7"/>
    <w:rsid w:val="005B4F14"/>
    <w:rsid w:val="0060114F"/>
    <w:rsid w:val="006F4B34"/>
    <w:rsid w:val="006F717E"/>
    <w:rsid w:val="00724AD1"/>
    <w:rsid w:val="00850250"/>
    <w:rsid w:val="008623D9"/>
    <w:rsid w:val="00866D28"/>
    <w:rsid w:val="00871043"/>
    <w:rsid w:val="008C172E"/>
    <w:rsid w:val="008F0B20"/>
    <w:rsid w:val="009046C6"/>
    <w:rsid w:val="009173AB"/>
    <w:rsid w:val="00942EDD"/>
    <w:rsid w:val="00960A9C"/>
    <w:rsid w:val="009C3F0F"/>
    <w:rsid w:val="009C7FF6"/>
    <w:rsid w:val="009E38A5"/>
    <w:rsid w:val="00AB14A3"/>
    <w:rsid w:val="00B923E4"/>
    <w:rsid w:val="00B9749A"/>
    <w:rsid w:val="00BE61F9"/>
    <w:rsid w:val="00BE663B"/>
    <w:rsid w:val="00BF79C8"/>
    <w:rsid w:val="00C46BBD"/>
    <w:rsid w:val="00C5203E"/>
    <w:rsid w:val="00CA5BEA"/>
    <w:rsid w:val="00CB435E"/>
    <w:rsid w:val="00D1181D"/>
    <w:rsid w:val="00D171DD"/>
    <w:rsid w:val="00D249DB"/>
    <w:rsid w:val="00D26E2E"/>
    <w:rsid w:val="00D63DDC"/>
    <w:rsid w:val="00DA7723"/>
    <w:rsid w:val="00DE1A12"/>
    <w:rsid w:val="00E67258"/>
    <w:rsid w:val="00E91232"/>
    <w:rsid w:val="00EB7FEA"/>
    <w:rsid w:val="00ED4FA5"/>
    <w:rsid w:val="00F01C09"/>
    <w:rsid w:val="00F56E03"/>
    <w:rsid w:val="00F62A39"/>
    <w:rsid w:val="00F67214"/>
    <w:rsid w:val="00F960BB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7723"/>
  </w:style>
  <w:style w:type="paragraph" w:styleId="llb">
    <w:name w:val="footer"/>
    <w:basedOn w:val="Norml"/>
    <w:link w:val="llbChar"/>
    <w:uiPriority w:val="99"/>
    <w:unhideWhenUsed/>
    <w:rsid w:val="00D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7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7723"/>
  </w:style>
  <w:style w:type="paragraph" w:styleId="llb">
    <w:name w:val="footer"/>
    <w:basedOn w:val="Norml"/>
    <w:link w:val="llbChar"/>
    <w:uiPriority w:val="99"/>
    <w:unhideWhenUsed/>
    <w:rsid w:val="00D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3</cp:revision>
  <cp:lastPrinted>2019-06-18T13:21:00Z</cp:lastPrinted>
  <dcterms:created xsi:type="dcterms:W3CDTF">2024-01-24T11:54:00Z</dcterms:created>
  <dcterms:modified xsi:type="dcterms:W3CDTF">2024-01-24T11:56:00Z</dcterms:modified>
</cp:coreProperties>
</file>